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B2" w:rsidRPr="00F36B05" w:rsidRDefault="00F36B05" w:rsidP="00F36B0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36B05">
        <w:rPr>
          <w:rFonts w:ascii="Arial" w:hAnsi="Arial" w:cs="Arial"/>
          <w:b/>
          <w:sz w:val="32"/>
          <w:szCs w:val="32"/>
        </w:rPr>
        <w:t>Herefordshire Referral and Top-up Funding Panel</w:t>
      </w:r>
    </w:p>
    <w:p w:rsidR="004F0BB2" w:rsidRPr="007D1A1B" w:rsidRDefault="000B641F" w:rsidP="004F0B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2022 - 2023</w:t>
      </w:r>
    </w:p>
    <w:p w:rsidR="00A40563" w:rsidRDefault="00506639" w:rsidP="00F36B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panels commence at 1.00</w:t>
      </w:r>
      <w:r w:rsidR="00F36B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 unless otherwise stated.</w:t>
      </w:r>
    </w:p>
    <w:tbl>
      <w:tblPr>
        <w:tblStyle w:val="TableGrid"/>
        <w:tblW w:w="5811" w:type="dxa"/>
        <w:tblInd w:w="2122" w:type="dxa"/>
        <w:tblLook w:val="04A0" w:firstRow="1" w:lastRow="0" w:firstColumn="1" w:lastColumn="0" w:noHBand="0" w:noVBand="1"/>
      </w:tblPr>
      <w:tblGrid>
        <w:gridCol w:w="5811"/>
      </w:tblGrid>
      <w:tr w:rsidR="00385EED" w:rsidTr="00385EED">
        <w:trPr>
          <w:trHeight w:val="366"/>
        </w:trPr>
        <w:tc>
          <w:tcPr>
            <w:tcW w:w="5811" w:type="dxa"/>
            <w:shd w:val="clear" w:color="auto" w:fill="C6D9F1" w:themeFill="text2" w:themeFillTint="33"/>
          </w:tcPr>
          <w:p w:rsidR="00385EED" w:rsidRPr="00FC0BC2" w:rsidRDefault="00385EED" w:rsidP="00F36B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PANEL - Thursday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Default="00385EED" w:rsidP="00A10B9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Pr="000B641F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September 2022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Pr="000B641F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 October 2022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Pr="00FC0BC2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Pr="002B5609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November 2022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Pr="002B5609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December 2022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Pr="002B5609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January 2023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Pr="002B5609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February 2023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Pr="00214F4B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Pr="000B641F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 March 2023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Pr="007D1A1B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Pr="002B5609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April 2023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Pr="002B5609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May 2023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Pr="00FC0BC2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Pr="000B641F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 June 2023</w:t>
            </w:r>
          </w:p>
        </w:tc>
      </w:tr>
      <w:tr w:rsidR="00385EED" w:rsidTr="00385EED">
        <w:trPr>
          <w:trHeight w:val="366"/>
        </w:trPr>
        <w:tc>
          <w:tcPr>
            <w:tcW w:w="5811" w:type="dxa"/>
          </w:tcPr>
          <w:p w:rsidR="00385EED" w:rsidRPr="00FC0BC2" w:rsidRDefault="00385EED" w:rsidP="007D1A1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Pr="000B641F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 July 2022</w:t>
            </w:r>
          </w:p>
        </w:tc>
      </w:tr>
    </w:tbl>
    <w:p w:rsidR="00CD7276" w:rsidRDefault="00CD7276"/>
    <w:p w:rsidR="00D010AC" w:rsidRPr="008508FD" w:rsidRDefault="00D010AC" w:rsidP="00D010AC">
      <w:pPr>
        <w:rPr>
          <w:sz w:val="24"/>
        </w:rPr>
      </w:pPr>
      <w:r w:rsidRPr="008508FD">
        <w:rPr>
          <w:sz w:val="24"/>
        </w:rPr>
        <w:t xml:space="preserve">To achieve the most comprehensive assessment, requests should ideally be sent in by the May panel to allow professionals to produce advice </w:t>
      </w:r>
      <w:r>
        <w:rPr>
          <w:sz w:val="24"/>
        </w:rPr>
        <w:t>to inform the assessment process</w:t>
      </w:r>
      <w:r w:rsidRPr="008508FD">
        <w:rPr>
          <w:sz w:val="24"/>
        </w:rPr>
        <w:t>, although we do accept request</w:t>
      </w:r>
      <w:r>
        <w:rPr>
          <w:sz w:val="24"/>
        </w:rPr>
        <w:t>s</w:t>
      </w:r>
      <w:r w:rsidRPr="008508FD">
        <w:rPr>
          <w:sz w:val="24"/>
        </w:rPr>
        <w:t xml:space="preserve"> at any point throughout the year.</w:t>
      </w:r>
    </w:p>
    <w:p w:rsidR="007C793E" w:rsidRDefault="007C793E"/>
    <w:sectPr w:rsidR="007C793E" w:rsidSect="004F0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964" w:bottom="578" w:left="964" w:header="709" w:footer="57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34" w:rsidRDefault="00F16634" w:rsidP="00214F4B">
      <w:pPr>
        <w:spacing w:after="0" w:line="240" w:lineRule="auto"/>
      </w:pPr>
      <w:r>
        <w:separator/>
      </w:r>
    </w:p>
  </w:endnote>
  <w:endnote w:type="continuationSeparator" w:id="0">
    <w:p w:rsidR="00F16634" w:rsidRDefault="00F16634" w:rsidP="0021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90" w:rsidRDefault="00A10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90" w:rsidRDefault="00A10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90" w:rsidRDefault="00A10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34" w:rsidRDefault="00F16634" w:rsidP="00214F4B">
      <w:pPr>
        <w:spacing w:after="0" w:line="240" w:lineRule="auto"/>
      </w:pPr>
      <w:r>
        <w:separator/>
      </w:r>
    </w:p>
  </w:footnote>
  <w:footnote w:type="continuationSeparator" w:id="0">
    <w:p w:rsidR="00F16634" w:rsidRDefault="00F16634" w:rsidP="0021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90" w:rsidRDefault="00A10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90" w:rsidRDefault="00A10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90" w:rsidRDefault="00A10B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B2"/>
    <w:rsid w:val="000B641F"/>
    <w:rsid w:val="00146175"/>
    <w:rsid w:val="001F0356"/>
    <w:rsid w:val="00214F4B"/>
    <w:rsid w:val="00283FCD"/>
    <w:rsid w:val="002B5609"/>
    <w:rsid w:val="003432FA"/>
    <w:rsid w:val="00385EED"/>
    <w:rsid w:val="003F02E5"/>
    <w:rsid w:val="00475EC6"/>
    <w:rsid w:val="00487288"/>
    <w:rsid w:val="004F0BB2"/>
    <w:rsid w:val="00506639"/>
    <w:rsid w:val="0061175D"/>
    <w:rsid w:val="00676B47"/>
    <w:rsid w:val="006B1883"/>
    <w:rsid w:val="007C793E"/>
    <w:rsid w:val="007D1A1B"/>
    <w:rsid w:val="007D232C"/>
    <w:rsid w:val="008341A8"/>
    <w:rsid w:val="00903EAB"/>
    <w:rsid w:val="00A05AA5"/>
    <w:rsid w:val="00A10B90"/>
    <w:rsid w:val="00A40563"/>
    <w:rsid w:val="00AC29E2"/>
    <w:rsid w:val="00B02E9B"/>
    <w:rsid w:val="00B13B05"/>
    <w:rsid w:val="00B2384D"/>
    <w:rsid w:val="00BC31C7"/>
    <w:rsid w:val="00C036BB"/>
    <w:rsid w:val="00C27C3E"/>
    <w:rsid w:val="00C70C01"/>
    <w:rsid w:val="00C7508F"/>
    <w:rsid w:val="00CA3FF0"/>
    <w:rsid w:val="00CB6A8B"/>
    <w:rsid w:val="00CD7276"/>
    <w:rsid w:val="00CF6452"/>
    <w:rsid w:val="00D010AC"/>
    <w:rsid w:val="00D17A51"/>
    <w:rsid w:val="00D60F21"/>
    <w:rsid w:val="00D6657D"/>
    <w:rsid w:val="00D72026"/>
    <w:rsid w:val="00E319C8"/>
    <w:rsid w:val="00EA7872"/>
    <w:rsid w:val="00EC79FD"/>
    <w:rsid w:val="00F14CD9"/>
    <w:rsid w:val="00F16634"/>
    <w:rsid w:val="00F36B05"/>
    <w:rsid w:val="00F4059C"/>
    <w:rsid w:val="00F43596"/>
    <w:rsid w:val="00F55CB1"/>
    <w:rsid w:val="00FA445B"/>
    <w:rsid w:val="00FC0BC2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8C951-B0C3-4A61-BCBD-37069A96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4B"/>
  </w:style>
  <w:style w:type="paragraph" w:styleId="Footer">
    <w:name w:val="footer"/>
    <w:basedOn w:val="Normal"/>
    <w:link w:val="FooterChar"/>
    <w:uiPriority w:val="99"/>
    <w:unhideWhenUsed/>
    <w:rsid w:val="00214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DB69-01AF-4511-920F-9EAAE0D1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lorraine.smith1</dc:creator>
  <cp:lastModifiedBy>Davis, Joby</cp:lastModifiedBy>
  <cp:revision>2</cp:revision>
  <cp:lastPrinted>2016-07-01T10:17:00Z</cp:lastPrinted>
  <dcterms:created xsi:type="dcterms:W3CDTF">2022-09-02T12:27:00Z</dcterms:created>
  <dcterms:modified xsi:type="dcterms:W3CDTF">2022-09-02T12:27:00Z</dcterms:modified>
</cp:coreProperties>
</file>