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6237"/>
        <w:gridCol w:w="4829"/>
        <w:gridCol w:w="1508"/>
      </w:tblGrid>
      <w:tr w:rsidR="00E84E41" w:rsidRPr="00DE1ADF" w14:paraId="48473A95" w14:textId="77777777" w:rsidTr="00CE00F9">
        <w:trPr>
          <w:trHeight w:val="404"/>
          <w:jc w:val="center"/>
        </w:trPr>
        <w:tc>
          <w:tcPr>
            <w:tcW w:w="1696" w:type="dxa"/>
            <w:vAlign w:val="center"/>
          </w:tcPr>
          <w:p w14:paraId="6471F027" w14:textId="37A0F08A" w:rsidR="00E84E41" w:rsidRPr="00DE1ADF" w:rsidRDefault="00E84E41" w:rsidP="00CE00F9">
            <w:pPr>
              <w:pStyle w:val="TableText"/>
            </w:pPr>
            <w:bookmarkStart w:id="0" w:name="_GoBack"/>
            <w:bookmarkEnd w:id="0"/>
            <w:r w:rsidRPr="00DE1ADF">
              <w:t>School Name:</w:t>
            </w:r>
          </w:p>
        </w:tc>
        <w:tc>
          <w:tcPr>
            <w:tcW w:w="13708" w:type="dxa"/>
            <w:gridSpan w:val="4"/>
          </w:tcPr>
          <w:p w14:paraId="021705D4" w14:textId="77777777" w:rsidR="00E84E41" w:rsidRPr="00DE1ADF" w:rsidRDefault="00E84E41" w:rsidP="00DE1ADF">
            <w:pPr>
              <w:pStyle w:val="TableText"/>
            </w:pPr>
          </w:p>
        </w:tc>
      </w:tr>
      <w:tr w:rsidR="00E84E41" w:rsidRPr="00DE1ADF" w14:paraId="5EF63B15" w14:textId="77777777" w:rsidTr="00CE00F9">
        <w:trPr>
          <w:trHeight w:val="404"/>
          <w:jc w:val="center"/>
        </w:trPr>
        <w:tc>
          <w:tcPr>
            <w:tcW w:w="1696" w:type="dxa"/>
            <w:vAlign w:val="center"/>
          </w:tcPr>
          <w:p w14:paraId="6F9F322E" w14:textId="3438A398" w:rsidR="00E84E41" w:rsidRPr="00DE1ADF" w:rsidRDefault="00E84E41" w:rsidP="00CE00F9">
            <w:pPr>
              <w:pStyle w:val="TableText"/>
            </w:pPr>
            <w:r w:rsidRPr="00DE1ADF">
              <w:t>Activity:</w:t>
            </w:r>
          </w:p>
        </w:tc>
        <w:tc>
          <w:tcPr>
            <w:tcW w:w="13708" w:type="dxa"/>
            <w:gridSpan w:val="4"/>
          </w:tcPr>
          <w:p w14:paraId="49550D90" w14:textId="2C44EF5D" w:rsidR="00E84E41" w:rsidRPr="00DE1ADF" w:rsidRDefault="00DE1ADF" w:rsidP="00DE1ADF">
            <w:pPr>
              <w:pStyle w:val="TableText"/>
            </w:pPr>
            <w:r w:rsidRPr="00DE1ADF">
              <w:t xml:space="preserve">Cleaning on the school site. Use of cleaning chemicals and disposal of waste. </w:t>
            </w:r>
          </w:p>
        </w:tc>
      </w:tr>
      <w:tr w:rsidR="00E84E41" w:rsidRPr="00DE1ADF" w14:paraId="0602CD4D" w14:textId="77777777" w:rsidTr="00CE00F9">
        <w:trPr>
          <w:trHeight w:val="404"/>
          <w:jc w:val="center"/>
        </w:trPr>
        <w:tc>
          <w:tcPr>
            <w:tcW w:w="1696" w:type="dxa"/>
            <w:vAlign w:val="center"/>
          </w:tcPr>
          <w:p w14:paraId="27457271" w14:textId="4B20775D" w:rsidR="00E84E41" w:rsidRPr="00DE1ADF" w:rsidRDefault="00CE00F9" w:rsidP="00CE00F9">
            <w:pPr>
              <w:pStyle w:val="TableText"/>
            </w:pPr>
            <w:r>
              <w:t>Completed by</w:t>
            </w:r>
            <w:r w:rsidR="00E84E41" w:rsidRPr="00DE1ADF">
              <w:t>:</w:t>
            </w:r>
          </w:p>
        </w:tc>
        <w:tc>
          <w:tcPr>
            <w:tcW w:w="13708" w:type="dxa"/>
            <w:gridSpan w:val="4"/>
          </w:tcPr>
          <w:p w14:paraId="2E441C6A" w14:textId="77777777" w:rsidR="00E84E41" w:rsidRPr="00DE1ADF" w:rsidRDefault="00E84E41" w:rsidP="00DE1ADF">
            <w:pPr>
              <w:pStyle w:val="TableText"/>
            </w:pPr>
          </w:p>
        </w:tc>
      </w:tr>
      <w:tr w:rsidR="00E84E41" w:rsidRPr="00DE1ADF" w14:paraId="30DE1141" w14:textId="77777777" w:rsidTr="00CE00F9">
        <w:trPr>
          <w:trHeight w:val="470"/>
          <w:jc w:val="center"/>
        </w:trPr>
        <w:tc>
          <w:tcPr>
            <w:tcW w:w="1696" w:type="dxa"/>
            <w:vAlign w:val="center"/>
          </w:tcPr>
          <w:p w14:paraId="348ABEB1" w14:textId="77777777" w:rsidR="00E84E41" w:rsidRPr="00DE1ADF" w:rsidRDefault="00E84E41" w:rsidP="00CE00F9">
            <w:pPr>
              <w:pStyle w:val="TableText"/>
            </w:pPr>
            <w:r w:rsidRPr="00DE1ADF">
              <w:t>Hazards</w:t>
            </w:r>
          </w:p>
        </w:tc>
        <w:tc>
          <w:tcPr>
            <w:tcW w:w="1134" w:type="dxa"/>
          </w:tcPr>
          <w:p w14:paraId="49C25D39" w14:textId="77777777" w:rsidR="00E84E41" w:rsidRPr="00DE1ADF" w:rsidRDefault="00E84E41" w:rsidP="00DE1ADF">
            <w:pPr>
              <w:pStyle w:val="TableText"/>
              <w:jc w:val="center"/>
            </w:pPr>
            <w:r w:rsidRPr="00DE1ADF">
              <w:t>Who is at risk?</w:t>
            </w:r>
          </w:p>
        </w:tc>
        <w:tc>
          <w:tcPr>
            <w:tcW w:w="6237" w:type="dxa"/>
          </w:tcPr>
          <w:p w14:paraId="407F3424" w14:textId="77777777" w:rsidR="00E84E41" w:rsidRPr="00DE1ADF" w:rsidRDefault="00E84E41" w:rsidP="00DE1ADF">
            <w:pPr>
              <w:pStyle w:val="TableText"/>
              <w:jc w:val="center"/>
            </w:pPr>
            <w:r w:rsidRPr="00DE1ADF">
              <w:t>Current Control Measures</w:t>
            </w:r>
          </w:p>
        </w:tc>
        <w:tc>
          <w:tcPr>
            <w:tcW w:w="4829" w:type="dxa"/>
          </w:tcPr>
          <w:p w14:paraId="6B001A26" w14:textId="77777777" w:rsidR="00E84E41" w:rsidRPr="00DE1ADF" w:rsidRDefault="00E84E41" w:rsidP="00DE1ADF">
            <w:pPr>
              <w:pStyle w:val="TableText"/>
              <w:jc w:val="center"/>
            </w:pPr>
            <w:r w:rsidRPr="00DE1ADF">
              <w:t>Additional Requirements</w:t>
            </w:r>
          </w:p>
        </w:tc>
        <w:tc>
          <w:tcPr>
            <w:tcW w:w="1508" w:type="dxa"/>
          </w:tcPr>
          <w:p w14:paraId="7DF8122C" w14:textId="77777777" w:rsidR="00E84E41" w:rsidRPr="00DE1ADF" w:rsidRDefault="00E84E41" w:rsidP="00DE1ADF">
            <w:pPr>
              <w:pStyle w:val="TableText"/>
              <w:jc w:val="center"/>
            </w:pPr>
            <w:r w:rsidRPr="00DE1ADF">
              <w:t>Timescale</w:t>
            </w:r>
          </w:p>
        </w:tc>
      </w:tr>
      <w:tr w:rsidR="00E84E41" w:rsidRPr="00DE1ADF" w14:paraId="104FFF03" w14:textId="77777777" w:rsidTr="007C2FBA">
        <w:trPr>
          <w:trHeight w:val="470"/>
          <w:jc w:val="center"/>
        </w:trPr>
        <w:tc>
          <w:tcPr>
            <w:tcW w:w="1696" w:type="dxa"/>
          </w:tcPr>
          <w:p w14:paraId="5248BA69" w14:textId="25D8C3FF" w:rsidR="00E84E41" w:rsidRPr="00DE1ADF" w:rsidRDefault="00DE1ADF" w:rsidP="00DE1ADF">
            <w:pPr>
              <w:pStyle w:val="TableText"/>
            </w:pPr>
            <w:r w:rsidRPr="00DE1ADF">
              <w:t>COSHH</w:t>
            </w:r>
            <w:r>
              <w:t xml:space="preserve"> – accidental release of hazardous substances, skin contact, inhalations etc. </w:t>
            </w:r>
          </w:p>
        </w:tc>
        <w:tc>
          <w:tcPr>
            <w:tcW w:w="1134" w:type="dxa"/>
          </w:tcPr>
          <w:p w14:paraId="1FC6667C" w14:textId="77777777" w:rsidR="00E84E41" w:rsidRDefault="00DE1ADF" w:rsidP="00DE1ADF">
            <w:pPr>
              <w:pStyle w:val="TableText"/>
              <w:jc w:val="center"/>
            </w:pPr>
            <w:r>
              <w:t>Staff</w:t>
            </w:r>
          </w:p>
          <w:p w14:paraId="4B243924" w14:textId="79EB6A7F" w:rsidR="00DE1ADF" w:rsidRPr="00DE1ADF" w:rsidRDefault="00DE1ADF" w:rsidP="00DE1ADF">
            <w:pPr>
              <w:pStyle w:val="TableText"/>
              <w:jc w:val="center"/>
            </w:pPr>
            <w:r>
              <w:t>pupils</w:t>
            </w:r>
          </w:p>
        </w:tc>
        <w:tc>
          <w:tcPr>
            <w:tcW w:w="6237" w:type="dxa"/>
          </w:tcPr>
          <w:p w14:paraId="2E2C24B6" w14:textId="09585583" w:rsidR="00DE1ADF" w:rsidRDefault="00DE1ADF" w:rsidP="00DE1ADF">
            <w:pPr>
              <w:pStyle w:val="TableText"/>
            </w:pPr>
            <w:r w:rsidRPr="00241C16">
              <w:t>Harmful substances brought on to site must have an accompanying COSHH assessment, and a Safety Data Sheet</w:t>
            </w:r>
            <w:r w:rsidR="007C2FBA">
              <w:t xml:space="preserve"> (SDS)</w:t>
            </w:r>
            <w:r w:rsidRPr="00241C16">
              <w:t>.</w:t>
            </w:r>
          </w:p>
          <w:p w14:paraId="1E05ED6C" w14:textId="77777777" w:rsidR="00DE1ADF" w:rsidRDefault="00DE1ADF" w:rsidP="00DE1ADF">
            <w:pPr>
              <w:pStyle w:val="TableText"/>
            </w:pPr>
            <w:r>
              <w:t>COSHH assessments accurately reflect the use and handling of the relevant substance on site.</w:t>
            </w:r>
          </w:p>
          <w:p w14:paraId="07D198C1" w14:textId="77777777" w:rsidR="00DE1ADF" w:rsidRPr="00241C16" w:rsidRDefault="00DE1ADF" w:rsidP="00DE1ADF">
            <w:pPr>
              <w:pStyle w:val="TableText"/>
            </w:pPr>
            <w:r>
              <w:t>Suitable PPE will be provided where it is identified as being required.</w:t>
            </w:r>
          </w:p>
          <w:p w14:paraId="6E2EDE56" w14:textId="1CB0DA63" w:rsidR="00DE1ADF" w:rsidRDefault="00DE1ADF" w:rsidP="00DE1ADF">
            <w:pPr>
              <w:pStyle w:val="TableText"/>
            </w:pPr>
            <w:r>
              <w:t>Harmful substances must be stored securely, and in line with guidance given in the SDS.</w:t>
            </w:r>
          </w:p>
          <w:p w14:paraId="09A4AF45" w14:textId="77777777" w:rsidR="00DE1ADF" w:rsidRDefault="00DE1ADF" w:rsidP="00DE1ADF">
            <w:pPr>
              <w:pStyle w:val="TableText"/>
            </w:pPr>
            <w:r>
              <w:t>Cleaning cupboards will be locked whenever they are not in use.</w:t>
            </w:r>
          </w:p>
          <w:p w14:paraId="69DB00CA" w14:textId="7FD187DD" w:rsidR="00DE1ADF" w:rsidRDefault="00DE1ADF" w:rsidP="00DE1ADF">
            <w:pPr>
              <w:pStyle w:val="TableText"/>
              <w:rPr>
                <w:rFonts w:cs="Arial"/>
              </w:rPr>
            </w:pPr>
            <w:r>
              <w:t>Any spills will be cleaned immediately, and in line with guidance given in the</w:t>
            </w:r>
            <w:r>
              <w:rPr>
                <w:rFonts w:cs="Arial"/>
              </w:rPr>
              <w:t xml:space="preserve"> SDS.</w:t>
            </w:r>
          </w:p>
          <w:p w14:paraId="307CCF24" w14:textId="77777777" w:rsidR="00DE1ADF" w:rsidRDefault="00DE1ADF" w:rsidP="00DE1ADF">
            <w:pPr>
              <w:pStyle w:val="TableText"/>
              <w:rPr>
                <w:rFonts w:cs="Arial"/>
              </w:rPr>
            </w:pPr>
            <w:r>
              <w:rPr>
                <w:rFonts w:cs="Arial"/>
              </w:rPr>
              <w:t>Hazardous substances will be kept in their original, properly labelled container.</w:t>
            </w:r>
          </w:p>
          <w:p w14:paraId="47B1029A" w14:textId="4D603B58" w:rsidR="00E84E41" w:rsidRPr="00DE1ADF" w:rsidRDefault="00DE1ADF" w:rsidP="00DE1ADF">
            <w:pPr>
              <w:pStyle w:val="TableText"/>
            </w:pPr>
            <w:r>
              <w:rPr>
                <w:rFonts w:cs="Arial"/>
              </w:rPr>
              <w:t>Where substances must be moved from their original container, for example where they must be diluted or mixed for use, they will be properly labelled with hazard information in an appropriate container.</w:t>
            </w:r>
          </w:p>
        </w:tc>
        <w:tc>
          <w:tcPr>
            <w:tcW w:w="4829" w:type="dxa"/>
          </w:tcPr>
          <w:p w14:paraId="6CBDB6B1" w14:textId="77777777" w:rsidR="00E84E41" w:rsidRPr="00DE1ADF" w:rsidRDefault="00E84E41" w:rsidP="00DE1ADF">
            <w:pPr>
              <w:pStyle w:val="TableText"/>
            </w:pPr>
          </w:p>
        </w:tc>
        <w:tc>
          <w:tcPr>
            <w:tcW w:w="1508" w:type="dxa"/>
          </w:tcPr>
          <w:p w14:paraId="4516A1F5" w14:textId="77777777" w:rsidR="00E84E41" w:rsidRPr="00DE1ADF" w:rsidRDefault="00E84E41" w:rsidP="00DE1ADF">
            <w:pPr>
              <w:pStyle w:val="TableText"/>
            </w:pPr>
          </w:p>
        </w:tc>
      </w:tr>
      <w:tr w:rsidR="00E84E41" w:rsidRPr="00DE1ADF" w14:paraId="6FC87FF1" w14:textId="77777777" w:rsidTr="007C2FBA">
        <w:trPr>
          <w:trHeight w:val="470"/>
          <w:jc w:val="center"/>
        </w:trPr>
        <w:tc>
          <w:tcPr>
            <w:tcW w:w="1696" w:type="dxa"/>
          </w:tcPr>
          <w:p w14:paraId="67F6C2BF" w14:textId="38710F04" w:rsidR="00E84E41" w:rsidRPr="00DE1ADF" w:rsidRDefault="00DE1ADF" w:rsidP="00DE1ADF">
            <w:pPr>
              <w:pStyle w:val="TableText"/>
            </w:pPr>
            <w:r>
              <w:t>Manual handling injuries such as strains, slipped disks, pinching and trapping, falls etc.</w:t>
            </w:r>
          </w:p>
        </w:tc>
        <w:tc>
          <w:tcPr>
            <w:tcW w:w="1134" w:type="dxa"/>
          </w:tcPr>
          <w:p w14:paraId="0099FD1F" w14:textId="77777777" w:rsidR="00E84E41" w:rsidRPr="00DE1ADF" w:rsidRDefault="00E84E41" w:rsidP="00DE1ADF">
            <w:pPr>
              <w:pStyle w:val="TableText"/>
              <w:jc w:val="center"/>
            </w:pPr>
          </w:p>
        </w:tc>
        <w:tc>
          <w:tcPr>
            <w:tcW w:w="6237" w:type="dxa"/>
          </w:tcPr>
          <w:p w14:paraId="07DE586D" w14:textId="77777777" w:rsidR="00DE1ADF" w:rsidRDefault="00DE1ADF" w:rsidP="00DE1ADF">
            <w:pPr>
              <w:pStyle w:val="TableText"/>
              <w:spacing w:before="40" w:after="40"/>
            </w:pPr>
            <w:r>
              <w:t>Cleaning staff have been provided with the appropriate manual handling training.</w:t>
            </w:r>
          </w:p>
          <w:p w14:paraId="3FB3D0A1" w14:textId="77777777" w:rsidR="00DE1ADF" w:rsidRDefault="00DE1ADF" w:rsidP="00DE1ADF">
            <w:pPr>
              <w:pStyle w:val="TableText"/>
              <w:spacing w:before="40" w:after="40"/>
            </w:pPr>
            <w:r>
              <w:t>Storage areas provided for cleaning staff will be appropriately shelved to avoid low level lifting.</w:t>
            </w:r>
          </w:p>
          <w:p w14:paraId="668E2AC7" w14:textId="77777777" w:rsidR="00DE1ADF" w:rsidRDefault="00DE1ADF" w:rsidP="00DE1ADF">
            <w:pPr>
              <w:pStyle w:val="TableText"/>
              <w:spacing w:before="40" w:after="40"/>
            </w:pPr>
            <w:r>
              <w:t>Heavier items will be stored at waist height, to avoid stooping or over reaching with heavy objects.</w:t>
            </w:r>
          </w:p>
          <w:p w14:paraId="770BF087" w14:textId="77777777" w:rsidR="00DE1ADF" w:rsidRDefault="00DE1ADF" w:rsidP="00DE1ADF">
            <w:pPr>
              <w:pStyle w:val="TableText"/>
              <w:spacing w:before="40" w:after="40"/>
            </w:pPr>
          </w:p>
          <w:p w14:paraId="2E9038AC" w14:textId="20175BE3" w:rsidR="00E84E41" w:rsidRPr="00DE1ADF" w:rsidRDefault="00DE1ADF" w:rsidP="00DE1ADF">
            <w:pPr>
              <w:pStyle w:val="TableText"/>
            </w:pPr>
            <w:r>
              <w:t>Heavy items will not be stored above head height, to reduce the risk of injury from falling objects.</w:t>
            </w:r>
          </w:p>
        </w:tc>
        <w:tc>
          <w:tcPr>
            <w:tcW w:w="4829" w:type="dxa"/>
          </w:tcPr>
          <w:p w14:paraId="6DDAF0FB" w14:textId="77777777" w:rsidR="00E84E41" w:rsidRPr="00DE1ADF" w:rsidRDefault="00E84E41" w:rsidP="00DE1ADF">
            <w:pPr>
              <w:pStyle w:val="TableText"/>
            </w:pPr>
          </w:p>
        </w:tc>
        <w:tc>
          <w:tcPr>
            <w:tcW w:w="1508" w:type="dxa"/>
          </w:tcPr>
          <w:p w14:paraId="035BB201" w14:textId="77777777" w:rsidR="00E84E41" w:rsidRPr="00DE1ADF" w:rsidRDefault="00E84E41" w:rsidP="00DE1ADF">
            <w:pPr>
              <w:pStyle w:val="TableText"/>
            </w:pPr>
          </w:p>
        </w:tc>
      </w:tr>
      <w:tr w:rsidR="00DE1ADF" w:rsidRPr="00DE1ADF" w14:paraId="7063C272" w14:textId="77777777" w:rsidTr="007C2FBA">
        <w:trPr>
          <w:trHeight w:val="470"/>
          <w:jc w:val="center"/>
        </w:trPr>
        <w:tc>
          <w:tcPr>
            <w:tcW w:w="1696" w:type="dxa"/>
          </w:tcPr>
          <w:p w14:paraId="394588BB" w14:textId="7F0F7630" w:rsidR="00DE1ADF" w:rsidRPr="00DE1ADF" w:rsidRDefault="00DE1ADF" w:rsidP="00DE1ADF">
            <w:pPr>
              <w:pStyle w:val="TableText"/>
            </w:pPr>
            <w:r>
              <w:lastRenderedPageBreak/>
              <w:t>Suitability of cleaning equipment.</w:t>
            </w:r>
          </w:p>
        </w:tc>
        <w:tc>
          <w:tcPr>
            <w:tcW w:w="1134" w:type="dxa"/>
          </w:tcPr>
          <w:p w14:paraId="3B9B4E4B" w14:textId="77777777" w:rsidR="00DE1ADF" w:rsidRPr="00DE1ADF" w:rsidRDefault="00DE1ADF" w:rsidP="00DE1ADF">
            <w:pPr>
              <w:pStyle w:val="TableText"/>
              <w:jc w:val="center"/>
            </w:pPr>
          </w:p>
        </w:tc>
        <w:tc>
          <w:tcPr>
            <w:tcW w:w="6237" w:type="dxa"/>
          </w:tcPr>
          <w:p w14:paraId="212C8438" w14:textId="77777777" w:rsidR="00DE1ADF" w:rsidRDefault="00DE1ADF" w:rsidP="00DE1ADF">
            <w:pPr>
              <w:pStyle w:val="TableText"/>
            </w:pPr>
            <w:r>
              <w:t>All electrical equipment will be suitable maintained and tested to reduce the likelihood of faults leading to electrocution or fire.</w:t>
            </w:r>
          </w:p>
          <w:p w14:paraId="7D0296C7" w14:textId="77777777" w:rsidR="00DE1ADF" w:rsidRDefault="00DE1ADF" w:rsidP="00DE1ADF">
            <w:pPr>
              <w:pStyle w:val="TableText"/>
            </w:pPr>
            <w:r>
              <w:t>Equipment provided will be suitable for its intended purpose, and practical for its user (i.e. not unnecessarily heavy or cumbersome, suitable for the environment, an appropriate height)</w:t>
            </w:r>
          </w:p>
          <w:p w14:paraId="50175D59" w14:textId="50661573" w:rsidR="00DE1ADF" w:rsidRPr="00DE1ADF" w:rsidRDefault="00DE1ADF" w:rsidP="00DE1ADF">
            <w:pPr>
              <w:pStyle w:val="TableText"/>
            </w:pPr>
            <w:r>
              <w:t>PPE provided will be suitable based on a risk assessment of the process, and suitable for the user (i.e. the correct size, the correct face fit for beards etc.)</w:t>
            </w:r>
          </w:p>
        </w:tc>
        <w:tc>
          <w:tcPr>
            <w:tcW w:w="4829" w:type="dxa"/>
          </w:tcPr>
          <w:p w14:paraId="2B6511D3" w14:textId="77777777" w:rsidR="00DE1ADF" w:rsidRPr="00DE1ADF" w:rsidRDefault="00DE1ADF" w:rsidP="00DE1ADF">
            <w:pPr>
              <w:pStyle w:val="TableText"/>
            </w:pPr>
          </w:p>
        </w:tc>
        <w:tc>
          <w:tcPr>
            <w:tcW w:w="1508" w:type="dxa"/>
          </w:tcPr>
          <w:p w14:paraId="5F69941B" w14:textId="77777777" w:rsidR="00DE1ADF" w:rsidRPr="00DE1ADF" w:rsidRDefault="00DE1ADF" w:rsidP="00DE1ADF">
            <w:pPr>
              <w:pStyle w:val="TableText"/>
            </w:pPr>
          </w:p>
        </w:tc>
      </w:tr>
      <w:tr w:rsidR="00DE1ADF" w:rsidRPr="00DE1ADF" w14:paraId="3518C3F4" w14:textId="77777777" w:rsidTr="007C2FBA">
        <w:trPr>
          <w:trHeight w:val="470"/>
          <w:jc w:val="center"/>
        </w:trPr>
        <w:tc>
          <w:tcPr>
            <w:tcW w:w="1696" w:type="dxa"/>
          </w:tcPr>
          <w:p w14:paraId="3E278C2C" w14:textId="00BA3D4F" w:rsidR="00DE1ADF" w:rsidRPr="00DE1ADF" w:rsidRDefault="00DE1ADF" w:rsidP="00DE1ADF">
            <w:pPr>
              <w:pStyle w:val="TableText"/>
            </w:pPr>
            <w:r>
              <w:t>Waste – cuts from sharps, spillages, manual handling injury, and exposure to harmful substances.</w:t>
            </w:r>
          </w:p>
        </w:tc>
        <w:tc>
          <w:tcPr>
            <w:tcW w:w="1134" w:type="dxa"/>
          </w:tcPr>
          <w:p w14:paraId="0E393819" w14:textId="77777777" w:rsidR="00DE1ADF" w:rsidRPr="00DE1ADF" w:rsidRDefault="00DE1ADF" w:rsidP="00DE1ADF">
            <w:pPr>
              <w:pStyle w:val="TableText"/>
              <w:jc w:val="center"/>
            </w:pPr>
          </w:p>
        </w:tc>
        <w:tc>
          <w:tcPr>
            <w:tcW w:w="6237" w:type="dxa"/>
          </w:tcPr>
          <w:p w14:paraId="6755BF12" w14:textId="77777777" w:rsidR="00DE1ADF" w:rsidRDefault="00DE1ADF" w:rsidP="00DE1ADF">
            <w:pPr>
              <w:pStyle w:val="TableText"/>
            </w:pPr>
            <w:r>
              <w:t>All hazardous waste (e.g. bodily fluids, contaminated first aid supplies, sharps) will be disposed of correctly and contaminated surfaces cleaned thoroughly.</w:t>
            </w:r>
          </w:p>
          <w:p w14:paraId="667967FB" w14:textId="77777777" w:rsidR="00FD5430" w:rsidRDefault="00FD5430" w:rsidP="00DE1ADF">
            <w:pPr>
              <w:pStyle w:val="TableText"/>
            </w:pPr>
            <w:r>
              <w:t xml:space="preserve">Sharps such as glass will be wrapped in paper for disposal. </w:t>
            </w:r>
          </w:p>
          <w:p w14:paraId="7286C533" w14:textId="77777777" w:rsidR="00FD5430" w:rsidRDefault="00FD5430" w:rsidP="00FD5430">
            <w:pPr>
              <w:pStyle w:val="TableText"/>
            </w:pPr>
            <w:r>
              <w:t xml:space="preserve">Bin bags should not be pushed down with bare hands. </w:t>
            </w:r>
          </w:p>
          <w:p w14:paraId="4429CED4" w14:textId="50373F5D" w:rsidR="00FD5430" w:rsidRPr="00DE1ADF" w:rsidRDefault="00FD5430" w:rsidP="00FD5430">
            <w:pPr>
              <w:pStyle w:val="TableText"/>
            </w:pPr>
            <w:r>
              <w:t xml:space="preserve">Cut resistant gloves will be provided and worn. </w:t>
            </w:r>
          </w:p>
        </w:tc>
        <w:tc>
          <w:tcPr>
            <w:tcW w:w="4829" w:type="dxa"/>
          </w:tcPr>
          <w:p w14:paraId="12F07A41" w14:textId="77777777" w:rsidR="00DE1ADF" w:rsidRPr="00DE1ADF" w:rsidRDefault="00DE1ADF" w:rsidP="00DE1ADF">
            <w:pPr>
              <w:pStyle w:val="TableText"/>
            </w:pPr>
          </w:p>
        </w:tc>
        <w:tc>
          <w:tcPr>
            <w:tcW w:w="1508" w:type="dxa"/>
          </w:tcPr>
          <w:p w14:paraId="2E8EBDEC" w14:textId="77777777" w:rsidR="00DE1ADF" w:rsidRPr="00DE1ADF" w:rsidRDefault="00DE1ADF" w:rsidP="00DE1ADF">
            <w:pPr>
              <w:pStyle w:val="TableText"/>
            </w:pPr>
          </w:p>
        </w:tc>
      </w:tr>
      <w:tr w:rsidR="00E84E41" w:rsidRPr="00DE1ADF" w14:paraId="1C4C2A67" w14:textId="77777777" w:rsidTr="007C2FBA">
        <w:trPr>
          <w:trHeight w:val="470"/>
          <w:jc w:val="center"/>
        </w:trPr>
        <w:tc>
          <w:tcPr>
            <w:tcW w:w="1696" w:type="dxa"/>
          </w:tcPr>
          <w:p w14:paraId="3920AB99" w14:textId="77777777" w:rsidR="00E84E41" w:rsidRPr="00DE1ADF" w:rsidRDefault="00E84E41" w:rsidP="00DE1ADF">
            <w:pPr>
              <w:pStyle w:val="TableText"/>
            </w:pPr>
          </w:p>
        </w:tc>
        <w:tc>
          <w:tcPr>
            <w:tcW w:w="1134" w:type="dxa"/>
          </w:tcPr>
          <w:p w14:paraId="3563EDD7" w14:textId="77777777" w:rsidR="00E84E41" w:rsidRPr="00DE1ADF" w:rsidRDefault="00E84E41" w:rsidP="00DE1ADF">
            <w:pPr>
              <w:pStyle w:val="TableText"/>
              <w:jc w:val="center"/>
            </w:pPr>
          </w:p>
        </w:tc>
        <w:tc>
          <w:tcPr>
            <w:tcW w:w="6237" w:type="dxa"/>
          </w:tcPr>
          <w:p w14:paraId="55A8221A" w14:textId="77777777" w:rsidR="00E84E41" w:rsidRPr="00DE1ADF" w:rsidRDefault="00E84E41" w:rsidP="00DE1ADF">
            <w:pPr>
              <w:pStyle w:val="TableText"/>
            </w:pPr>
          </w:p>
        </w:tc>
        <w:tc>
          <w:tcPr>
            <w:tcW w:w="4829" w:type="dxa"/>
          </w:tcPr>
          <w:p w14:paraId="2E3126D9" w14:textId="77777777" w:rsidR="00E84E41" w:rsidRPr="00DE1ADF" w:rsidRDefault="00E84E41" w:rsidP="00DE1ADF">
            <w:pPr>
              <w:pStyle w:val="TableText"/>
            </w:pPr>
          </w:p>
        </w:tc>
        <w:tc>
          <w:tcPr>
            <w:tcW w:w="1508" w:type="dxa"/>
          </w:tcPr>
          <w:p w14:paraId="2EAC1FC9" w14:textId="77777777" w:rsidR="00E84E41" w:rsidRPr="00DE1ADF" w:rsidRDefault="00E84E41" w:rsidP="00DE1ADF">
            <w:pPr>
              <w:pStyle w:val="TableText"/>
            </w:pPr>
          </w:p>
        </w:tc>
      </w:tr>
      <w:tr w:rsidR="00E84E41" w:rsidRPr="00DE1ADF" w14:paraId="319726A2" w14:textId="77777777" w:rsidTr="007C2FBA">
        <w:trPr>
          <w:trHeight w:val="470"/>
          <w:jc w:val="center"/>
        </w:trPr>
        <w:tc>
          <w:tcPr>
            <w:tcW w:w="1696" w:type="dxa"/>
          </w:tcPr>
          <w:p w14:paraId="310376BA" w14:textId="77777777" w:rsidR="00E84E41" w:rsidRPr="00DE1ADF" w:rsidRDefault="00E84E41" w:rsidP="00DE1ADF">
            <w:pPr>
              <w:pStyle w:val="TableText"/>
            </w:pPr>
          </w:p>
        </w:tc>
        <w:tc>
          <w:tcPr>
            <w:tcW w:w="1134" w:type="dxa"/>
          </w:tcPr>
          <w:p w14:paraId="6CEE9815" w14:textId="77777777" w:rsidR="00E84E41" w:rsidRPr="00DE1ADF" w:rsidRDefault="00E84E41" w:rsidP="00DE1ADF">
            <w:pPr>
              <w:pStyle w:val="TableText"/>
              <w:jc w:val="center"/>
            </w:pPr>
          </w:p>
        </w:tc>
        <w:tc>
          <w:tcPr>
            <w:tcW w:w="6237" w:type="dxa"/>
          </w:tcPr>
          <w:p w14:paraId="184D47A8" w14:textId="77777777" w:rsidR="00E84E41" w:rsidRPr="00DE1ADF" w:rsidRDefault="00E84E41" w:rsidP="00DE1ADF">
            <w:pPr>
              <w:pStyle w:val="TableText"/>
            </w:pPr>
          </w:p>
        </w:tc>
        <w:tc>
          <w:tcPr>
            <w:tcW w:w="4829" w:type="dxa"/>
          </w:tcPr>
          <w:p w14:paraId="67C2AC67" w14:textId="77777777" w:rsidR="00E84E41" w:rsidRPr="00DE1ADF" w:rsidRDefault="00E84E41" w:rsidP="00DE1ADF">
            <w:pPr>
              <w:pStyle w:val="TableText"/>
            </w:pPr>
          </w:p>
        </w:tc>
        <w:tc>
          <w:tcPr>
            <w:tcW w:w="1508" w:type="dxa"/>
          </w:tcPr>
          <w:p w14:paraId="325CEA59" w14:textId="77777777" w:rsidR="00E84E41" w:rsidRPr="00DE1ADF" w:rsidRDefault="00E84E41" w:rsidP="00DE1ADF">
            <w:pPr>
              <w:pStyle w:val="TableText"/>
            </w:pPr>
          </w:p>
        </w:tc>
      </w:tr>
    </w:tbl>
    <w:p w14:paraId="4DB54984" w14:textId="77777777" w:rsidR="00E84E41" w:rsidRDefault="00E84E41" w:rsidP="00205BA7">
      <w:pPr>
        <w:sectPr w:rsidR="00E84E41" w:rsidSect="00E84E41">
          <w:headerReference w:type="default" r:id="rId8"/>
          <w:footerReference w:type="default" r:id="rId9"/>
          <w:pgSz w:w="16838" w:h="11906" w:orient="landscape"/>
          <w:pgMar w:top="720" w:right="720" w:bottom="720" w:left="720" w:header="850" w:footer="283" w:gutter="0"/>
          <w:cols w:space="708"/>
          <w:docGrid w:linePitch="360"/>
        </w:sect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379"/>
        <w:gridCol w:w="6941"/>
      </w:tblGrid>
      <w:tr w:rsidR="00E84E41" w:rsidRPr="00170E00" w14:paraId="42B71625" w14:textId="77777777" w:rsidTr="00E84E41">
        <w:trPr>
          <w:trHeight w:val="369"/>
          <w:jc w:val="center"/>
        </w:trPr>
        <w:tc>
          <w:tcPr>
            <w:tcW w:w="1984" w:type="dxa"/>
            <w:vAlign w:val="center"/>
          </w:tcPr>
          <w:p w14:paraId="1CB71E93" w14:textId="77777777" w:rsidR="00E84E41" w:rsidRPr="009A27E5" w:rsidRDefault="00E84E41" w:rsidP="00E84E41">
            <w:pPr>
              <w:pStyle w:val="TableText"/>
            </w:pPr>
            <w:r w:rsidRPr="009A27E5">
              <w:lastRenderedPageBreak/>
              <w:t>Initial Assessment</w:t>
            </w:r>
          </w:p>
          <w:p w14:paraId="014436FC" w14:textId="2D7A36C0" w:rsidR="00E84E41" w:rsidRPr="00724CC5" w:rsidRDefault="00E84E41" w:rsidP="00E84E41">
            <w:pPr>
              <w:pStyle w:val="TableText"/>
            </w:pPr>
            <w:r w:rsidRPr="009A27E5">
              <w:t>Review Date</w:t>
            </w:r>
          </w:p>
        </w:tc>
        <w:tc>
          <w:tcPr>
            <w:tcW w:w="6379" w:type="dxa"/>
            <w:vAlign w:val="center"/>
          </w:tcPr>
          <w:p w14:paraId="30FE1B18" w14:textId="77777777" w:rsidR="00E84E41" w:rsidRPr="00E84E41" w:rsidRDefault="00E84E41" w:rsidP="00E84E41">
            <w:pPr>
              <w:pStyle w:val="TableText"/>
              <w:rPr>
                <w:b/>
              </w:rPr>
            </w:pPr>
            <w:r w:rsidRPr="009A27E5">
              <w:t>Risk Assessment assessed, reviewed by the following competent person:</w:t>
            </w:r>
          </w:p>
        </w:tc>
        <w:tc>
          <w:tcPr>
            <w:tcW w:w="6941" w:type="dxa"/>
            <w:vAlign w:val="center"/>
          </w:tcPr>
          <w:p w14:paraId="1F622E61" w14:textId="77777777" w:rsidR="00E84E41" w:rsidRPr="00170E00" w:rsidRDefault="00E84E41" w:rsidP="00E84E41">
            <w:pPr>
              <w:pStyle w:val="TableText"/>
              <w:rPr>
                <w:rFonts w:cs="Arial"/>
                <w:b/>
                <w:bCs/>
              </w:rPr>
            </w:pPr>
          </w:p>
          <w:p w14:paraId="149A093C" w14:textId="77777777" w:rsidR="00E84E41" w:rsidRPr="00170E00" w:rsidRDefault="00E84E41" w:rsidP="00E84E41">
            <w:pPr>
              <w:pStyle w:val="TableText"/>
              <w:rPr>
                <w:rFonts w:cs="Arial"/>
                <w:b/>
                <w:bCs/>
              </w:rPr>
            </w:pPr>
            <w:r w:rsidRPr="00170E00">
              <w:rPr>
                <w:rFonts w:cs="Arial"/>
                <w:b/>
                <w:bCs/>
              </w:rPr>
              <w:t>Tas</w:t>
            </w:r>
            <w:r>
              <w:rPr>
                <w:rFonts w:cs="Arial"/>
                <w:b/>
                <w:bCs/>
              </w:rPr>
              <w:t>ks and control measures reviewed</w:t>
            </w:r>
            <w:r w:rsidRPr="00170E00">
              <w:rPr>
                <w:rFonts w:cs="Arial"/>
                <w:b/>
                <w:bCs/>
              </w:rPr>
              <w:t xml:space="preserve"> by </w:t>
            </w:r>
            <w:r>
              <w:rPr>
                <w:rFonts w:cs="Arial"/>
                <w:b/>
                <w:bCs/>
              </w:rPr>
              <w:t>the Governing Body</w:t>
            </w:r>
            <w:r w:rsidRPr="00170E00">
              <w:rPr>
                <w:rFonts w:cs="Arial"/>
                <w:b/>
                <w:bCs/>
              </w:rPr>
              <w:t>:</w:t>
            </w:r>
          </w:p>
          <w:p w14:paraId="461585B4" w14:textId="4493216B" w:rsidR="00E84E41" w:rsidRPr="00170E00" w:rsidRDefault="00E84E41" w:rsidP="00E84E41">
            <w:pPr>
              <w:pStyle w:val="TableText"/>
              <w:rPr>
                <w:rFonts w:cs="Arial"/>
                <w:b/>
                <w:bCs/>
              </w:rPr>
            </w:pPr>
          </w:p>
        </w:tc>
      </w:tr>
      <w:tr w:rsidR="00E84E41" w:rsidRPr="00170E00" w14:paraId="3667C798" w14:textId="77777777" w:rsidTr="00E84E41">
        <w:trPr>
          <w:trHeight w:val="340"/>
          <w:jc w:val="center"/>
        </w:trPr>
        <w:tc>
          <w:tcPr>
            <w:tcW w:w="1984" w:type="dxa"/>
            <w:vAlign w:val="center"/>
          </w:tcPr>
          <w:p w14:paraId="20AECAC1" w14:textId="585698FA" w:rsidR="00E84E41" w:rsidRPr="009A27E5" w:rsidRDefault="00E84E41" w:rsidP="00724CC5">
            <w:pPr>
              <w:pStyle w:val="TableText"/>
              <w:rPr>
                <w:rFonts w:cs="Arial"/>
                <w:bCs/>
                <w:sz w:val="24"/>
              </w:rPr>
            </w:pPr>
            <w:r w:rsidRPr="009A27E5">
              <w:rPr>
                <w:rFonts w:cs="Arial"/>
                <w:bCs/>
                <w:sz w:val="24"/>
              </w:rPr>
              <w:t>Name</w:t>
            </w:r>
            <w:r w:rsidR="00724CC5">
              <w:rPr>
                <w:rFonts w:cs="Arial"/>
                <w:bCs/>
                <w:sz w:val="24"/>
              </w:rPr>
              <w:t xml:space="preserve"> </w:t>
            </w:r>
            <w:r w:rsidRPr="009A27E5">
              <w:rPr>
                <w:rFonts w:cs="Arial"/>
                <w:bCs/>
                <w:sz w:val="24"/>
              </w:rPr>
              <w:t>(PRINT)</w:t>
            </w:r>
          </w:p>
        </w:tc>
        <w:tc>
          <w:tcPr>
            <w:tcW w:w="6379" w:type="dxa"/>
            <w:vAlign w:val="center"/>
          </w:tcPr>
          <w:p w14:paraId="6CA522A1" w14:textId="77777777" w:rsidR="00E84E41" w:rsidRPr="009A27E5" w:rsidRDefault="00E84E41" w:rsidP="00E84E41">
            <w:pPr>
              <w:pStyle w:val="TableText"/>
              <w:rPr>
                <w:rFonts w:cs="Arial"/>
                <w:bCs/>
                <w:sz w:val="24"/>
              </w:rPr>
            </w:pPr>
          </w:p>
          <w:p w14:paraId="0F84B14B" w14:textId="0D3781EB" w:rsidR="00E84E41" w:rsidRPr="009A27E5" w:rsidRDefault="00E84E41" w:rsidP="00E84E41">
            <w:pPr>
              <w:pStyle w:val="TableText"/>
              <w:rPr>
                <w:rFonts w:cs="Arial"/>
                <w:bCs/>
                <w:sz w:val="24"/>
              </w:rPr>
            </w:pPr>
          </w:p>
        </w:tc>
        <w:tc>
          <w:tcPr>
            <w:tcW w:w="6941" w:type="dxa"/>
            <w:vAlign w:val="center"/>
          </w:tcPr>
          <w:p w14:paraId="709244D6" w14:textId="77777777" w:rsidR="00E84E41" w:rsidRPr="00170E00" w:rsidRDefault="00E84E41" w:rsidP="00E84E41">
            <w:pPr>
              <w:pStyle w:val="TableText"/>
              <w:rPr>
                <w:rFonts w:cs="Arial"/>
                <w:bCs/>
              </w:rPr>
            </w:pPr>
            <w:r w:rsidRPr="00170E00">
              <w:rPr>
                <w:rFonts w:cs="Arial"/>
                <w:bCs/>
              </w:rPr>
              <w:t>Name (PRINT):</w:t>
            </w:r>
          </w:p>
        </w:tc>
      </w:tr>
      <w:tr w:rsidR="00E84E41" w:rsidRPr="00170E00" w14:paraId="2CB2855B" w14:textId="77777777" w:rsidTr="00E84E41">
        <w:trPr>
          <w:trHeight w:val="882"/>
          <w:jc w:val="center"/>
        </w:trPr>
        <w:tc>
          <w:tcPr>
            <w:tcW w:w="1984" w:type="dxa"/>
            <w:vAlign w:val="center"/>
          </w:tcPr>
          <w:p w14:paraId="4660E3D1" w14:textId="348A9B4F" w:rsidR="00E84E41" w:rsidRPr="009A27E5" w:rsidRDefault="00724CC5" w:rsidP="00E84E41">
            <w:pPr>
              <w:pStyle w:val="TableText"/>
              <w:rPr>
                <w:rFonts w:cs="Arial"/>
                <w:bCs/>
                <w:sz w:val="24"/>
              </w:rPr>
            </w:pPr>
            <w:r w:rsidRPr="00170E00">
              <w:rPr>
                <w:rFonts w:cs="Arial"/>
                <w:bCs/>
              </w:rPr>
              <w:t>Signature:                                                                                                     Date:</w:t>
            </w:r>
          </w:p>
        </w:tc>
        <w:tc>
          <w:tcPr>
            <w:tcW w:w="6379" w:type="dxa"/>
          </w:tcPr>
          <w:p w14:paraId="0E109B5A" w14:textId="77777777" w:rsidR="00E84E41" w:rsidRPr="009A27E5" w:rsidRDefault="00E84E41" w:rsidP="00E84E41">
            <w:pPr>
              <w:pStyle w:val="TableText"/>
              <w:rPr>
                <w:rFonts w:cs="Arial"/>
                <w:sz w:val="24"/>
              </w:rPr>
            </w:pPr>
          </w:p>
        </w:tc>
        <w:tc>
          <w:tcPr>
            <w:tcW w:w="6941" w:type="dxa"/>
            <w:vAlign w:val="center"/>
          </w:tcPr>
          <w:p w14:paraId="48101997" w14:textId="77777777" w:rsidR="00E84E41" w:rsidRPr="00170E00" w:rsidRDefault="00E84E41" w:rsidP="00E84E41">
            <w:pPr>
              <w:pStyle w:val="TableText"/>
              <w:rPr>
                <w:rFonts w:cs="Arial"/>
                <w:bCs/>
              </w:rPr>
            </w:pPr>
            <w:r w:rsidRPr="00170E00">
              <w:rPr>
                <w:rFonts w:cs="Arial"/>
                <w:bCs/>
              </w:rPr>
              <w:t>Signature:                                                                                                     Date:</w:t>
            </w:r>
          </w:p>
        </w:tc>
      </w:tr>
      <w:tr w:rsidR="00E84E41" w:rsidRPr="00170E00" w14:paraId="57167ACC" w14:textId="77777777" w:rsidTr="00E84E41">
        <w:trPr>
          <w:trHeight w:val="882"/>
          <w:jc w:val="center"/>
        </w:trPr>
        <w:tc>
          <w:tcPr>
            <w:tcW w:w="1984" w:type="dxa"/>
            <w:vAlign w:val="center"/>
          </w:tcPr>
          <w:p w14:paraId="57B2C32F" w14:textId="77777777" w:rsidR="00E84E41" w:rsidRPr="009A27E5" w:rsidRDefault="00E84E41" w:rsidP="00E84E41">
            <w:pPr>
              <w:pStyle w:val="TableText"/>
              <w:rPr>
                <w:rFonts w:cs="Arial"/>
                <w:bCs/>
                <w:sz w:val="24"/>
              </w:rPr>
            </w:pPr>
            <w:r w:rsidRPr="009A27E5">
              <w:rPr>
                <w:rFonts w:cs="Arial"/>
                <w:bCs/>
                <w:sz w:val="24"/>
              </w:rPr>
              <w:t>Next Review Date:</w:t>
            </w:r>
          </w:p>
          <w:p w14:paraId="7FF6B4B7" w14:textId="77777777" w:rsidR="00E84E41" w:rsidRPr="009A27E5" w:rsidRDefault="00E84E41" w:rsidP="00E84E41">
            <w:pPr>
              <w:pStyle w:val="TableText"/>
              <w:rPr>
                <w:rFonts w:cs="Arial"/>
                <w:bCs/>
                <w:sz w:val="24"/>
              </w:rPr>
            </w:pPr>
          </w:p>
          <w:p w14:paraId="367FDE19" w14:textId="77777777" w:rsidR="00E84E41" w:rsidRPr="009A27E5" w:rsidRDefault="00E84E41" w:rsidP="00E84E41">
            <w:pPr>
              <w:pStyle w:val="TableText"/>
              <w:rPr>
                <w:rFonts w:cs="Arial"/>
                <w:sz w:val="24"/>
              </w:rPr>
            </w:pPr>
            <w:r w:rsidRPr="009A27E5">
              <w:rPr>
                <w:rFonts w:cs="Arial"/>
                <w:sz w:val="24"/>
              </w:rPr>
              <w:t xml:space="preserve">      </w:t>
            </w:r>
          </w:p>
        </w:tc>
        <w:tc>
          <w:tcPr>
            <w:tcW w:w="13320" w:type="dxa"/>
            <w:gridSpan w:val="2"/>
          </w:tcPr>
          <w:p w14:paraId="6278243F" w14:textId="77777777" w:rsidR="00E84E41" w:rsidRPr="009A27E5" w:rsidRDefault="00E84E41" w:rsidP="00E84E41">
            <w:pPr>
              <w:pStyle w:val="TableText"/>
              <w:rPr>
                <w:rFonts w:cs="Arial"/>
                <w:sz w:val="24"/>
              </w:rPr>
            </w:pPr>
            <w:r w:rsidRPr="009A27E5">
              <w:rPr>
                <w:rFonts w:cs="Arial"/>
                <w:sz w:val="24"/>
              </w:rPr>
              <w:t xml:space="preserve">Your workplace will change over time. You are likely to bring in new equipment, substances and procedures. There may be advances in technology. You may have an accident or a case of ill health. </w:t>
            </w:r>
          </w:p>
          <w:p w14:paraId="36136372" w14:textId="77777777" w:rsidR="00E84E41" w:rsidRPr="009A27E5" w:rsidRDefault="00E84E41" w:rsidP="00E84E41">
            <w:pPr>
              <w:pStyle w:val="TableText"/>
              <w:rPr>
                <w:rFonts w:cs="Arial"/>
                <w:sz w:val="24"/>
              </w:rPr>
            </w:pPr>
            <w:r w:rsidRPr="009A27E5">
              <w:rPr>
                <w:rFonts w:cs="Arial"/>
                <w:sz w:val="24"/>
              </w:rPr>
              <w:t>You should review your risk assessment:</w:t>
            </w:r>
          </w:p>
          <w:p w14:paraId="20DAEF19" w14:textId="77777777" w:rsidR="00E84E41" w:rsidRPr="009A27E5" w:rsidRDefault="00E84E41" w:rsidP="00E84E41">
            <w:pPr>
              <w:pStyle w:val="TableText"/>
              <w:rPr>
                <w:rFonts w:cs="Arial"/>
                <w:sz w:val="24"/>
              </w:rPr>
            </w:pPr>
          </w:p>
          <w:p w14:paraId="0A134E07" w14:textId="77777777" w:rsidR="00E84E41" w:rsidRPr="009A27E5" w:rsidRDefault="00E84E41" w:rsidP="00E84E41">
            <w:pPr>
              <w:pStyle w:val="TableText"/>
              <w:rPr>
                <w:rFonts w:cs="Arial"/>
                <w:sz w:val="24"/>
                <w:szCs w:val="20"/>
              </w:rPr>
            </w:pPr>
            <w:r w:rsidRPr="009A27E5">
              <w:rPr>
                <w:rFonts w:cs="Arial"/>
                <w:sz w:val="24"/>
                <w:szCs w:val="20"/>
              </w:rPr>
              <w:t>if it is no longer valid</w:t>
            </w:r>
          </w:p>
          <w:p w14:paraId="21A52202" w14:textId="77777777" w:rsidR="00E84E41" w:rsidRPr="009A27E5" w:rsidRDefault="00E84E41" w:rsidP="00E84E41">
            <w:pPr>
              <w:pStyle w:val="TableText"/>
              <w:rPr>
                <w:rFonts w:cs="Arial"/>
                <w:sz w:val="24"/>
                <w:szCs w:val="20"/>
              </w:rPr>
            </w:pPr>
            <w:r w:rsidRPr="009A27E5">
              <w:rPr>
                <w:rFonts w:cs="Arial"/>
                <w:sz w:val="24"/>
                <w:szCs w:val="20"/>
              </w:rPr>
              <w:t>if there has been a significant change</w:t>
            </w:r>
          </w:p>
        </w:tc>
      </w:tr>
    </w:tbl>
    <w:p w14:paraId="462E7E32" w14:textId="79E12780" w:rsidR="007A76F7" w:rsidRDefault="007A76F7" w:rsidP="00205BA7"/>
    <w:p w14:paraId="67E228B2" w14:textId="77777777" w:rsidR="007A76F7" w:rsidRPr="007A76F7" w:rsidRDefault="007A76F7" w:rsidP="007A76F7"/>
    <w:p w14:paraId="025CD6C4" w14:textId="77777777" w:rsidR="007A76F7" w:rsidRPr="007A76F7" w:rsidRDefault="007A76F7" w:rsidP="007A76F7"/>
    <w:sectPr w:rsidR="007A76F7" w:rsidRPr="007A76F7" w:rsidSect="00E84E41">
      <w:pgSz w:w="16838" w:h="11906" w:orient="landscape"/>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F32D6B" w:rsidRDefault="00F32D6B" w:rsidP="008F1C14">
      <w:pPr>
        <w:spacing w:after="0" w:line="240" w:lineRule="auto"/>
      </w:pPr>
      <w:r>
        <w:separator/>
      </w:r>
    </w:p>
  </w:endnote>
  <w:endnote w:type="continuationSeparator" w:id="0">
    <w:p w14:paraId="282C62AF" w14:textId="77777777" w:rsidR="00F32D6B" w:rsidRDefault="00F32D6B"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F32D6B" w:rsidRDefault="00F32D6B" w:rsidP="008F1C14">
      <w:pPr>
        <w:spacing w:after="0" w:line="240" w:lineRule="auto"/>
      </w:pPr>
      <w:r>
        <w:separator/>
      </w:r>
    </w:p>
  </w:footnote>
  <w:footnote w:type="continuationSeparator" w:id="0">
    <w:p w14:paraId="5CD9425C" w14:textId="77777777" w:rsidR="00F32D6B" w:rsidRDefault="00F32D6B"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360F6A" w:rsidRDefault="005D626E"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EC10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86FE3"/>
    <w:multiLevelType w:val="hybridMultilevel"/>
    <w:tmpl w:val="5A2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2"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
  </w:num>
  <w:num w:numId="4">
    <w:abstractNumId w:val="8"/>
  </w:num>
  <w:num w:numId="5">
    <w:abstractNumId w:val="15"/>
  </w:num>
  <w:num w:numId="6">
    <w:abstractNumId w:val="3"/>
  </w:num>
  <w:num w:numId="7">
    <w:abstractNumId w:val="4"/>
  </w:num>
  <w:num w:numId="8">
    <w:abstractNumId w:val="11"/>
  </w:num>
  <w:num w:numId="9">
    <w:abstractNumId w:val="5"/>
  </w:num>
  <w:num w:numId="10">
    <w:abstractNumId w:val="17"/>
  </w:num>
  <w:num w:numId="11">
    <w:abstractNumId w:val="13"/>
  </w:num>
  <w:num w:numId="12">
    <w:abstractNumId w:val="14"/>
  </w:num>
  <w:num w:numId="13">
    <w:abstractNumId w:val="20"/>
  </w:num>
  <w:num w:numId="14">
    <w:abstractNumId w:val="7"/>
  </w:num>
  <w:num w:numId="15">
    <w:abstractNumId w:val="1"/>
  </w:num>
  <w:num w:numId="16">
    <w:abstractNumId w:val="0"/>
  </w:num>
  <w:num w:numId="17">
    <w:abstractNumId w:val="9"/>
  </w:num>
  <w:num w:numId="18">
    <w:abstractNumId w:val="22"/>
  </w:num>
  <w:num w:numId="19">
    <w:abstractNumId w:val="19"/>
  </w:num>
  <w:num w:numId="20">
    <w:abstractNumId w:val="10"/>
  </w:num>
  <w:num w:numId="21">
    <w:abstractNumId w:val="16"/>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D73A1"/>
    <w:rsid w:val="00104805"/>
    <w:rsid w:val="00137B38"/>
    <w:rsid w:val="0014361E"/>
    <w:rsid w:val="0015442F"/>
    <w:rsid w:val="001A55FE"/>
    <w:rsid w:val="00202359"/>
    <w:rsid w:val="00205BA7"/>
    <w:rsid w:val="0020727E"/>
    <w:rsid w:val="00245277"/>
    <w:rsid w:val="00250A55"/>
    <w:rsid w:val="00282A1E"/>
    <w:rsid w:val="002906E6"/>
    <w:rsid w:val="002D1B78"/>
    <w:rsid w:val="00360F6A"/>
    <w:rsid w:val="003A6C24"/>
    <w:rsid w:val="003C2371"/>
    <w:rsid w:val="003C3313"/>
    <w:rsid w:val="003D15D4"/>
    <w:rsid w:val="00400220"/>
    <w:rsid w:val="004044A1"/>
    <w:rsid w:val="00414AE5"/>
    <w:rsid w:val="00427EEF"/>
    <w:rsid w:val="004302F3"/>
    <w:rsid w:val="00490E92"/>
    <w:rsid w:val="004E0212"/>
    <w:rsid w:val="00594ACE"/>
    <w:rsid w:val="005D626E"/>
    <w:rsid w:val="005E0AFC"/>
    <w:rsid w:val="006A16F6"/>
    <w:rsid w:val="006B212C"/>
    <w:rsid w:val="006D1CB9"/>
    <w:rsid w:val="00724CC5"/>
    <w:rsid w:val="007A76F7"/>
    <w:rsid w:val="007C2FBA"/>
    <w:rsid w:val="007D252E"/>
    <w:rsid w:val="00880B03"/>
    <w:rsid w:val="0088640C"/>
    <w:rsid w:val="008A369D"/>
    <w:rsid w:val="008A37FA"/>
    <w:rsid w:val="008F1C14"/>
    <w:rsid w:val="00906827"/>
    <w:rsid w:val="00991E6F"/>
    <w:rsid w:val="009921C3"/>
    <w:rsid w:val="009B7C94"/>
    <w:rsid w:val="00A21917"/>
    <w:rsid w:val="00A6643F"/>
    <w:rsid w:val="00AA606C"/>
    <w:rsid w:val="00AF08C1"/>
    <w:rsid w:val="00B062E2"/>
    <w:rsid w:val="00B442CD"/>
    <w:rsid w:val="00B77EB4"/>
    <w:rsid w:val="00BC1F03"/>
    <w:rsid w:val="00BD0F23"/>
    <w:rsid w:val="00BE5AB3"/>
    <w:rsid w:val="00C0686B"/>
    <w:rsid w:val="00C22C46"/>
    <w:rsid w:val="00C318A8"/>
    <w:rsid w:val="00C35247"/>
    <w:rsid w:val="00C4489D"/>
    <w:rsid w:val="00C44EF9"/>
    <w:rsid w:val="00C60063"/>
    <w:rsid w:val="00CA68F9"/>
    <w:rsid w:val="00CC538D"/>
    <w:rsid w:val="00CD29C4"/>
    <w:rsid w:val="00CE00F9"/>
    <w:rsid w:val="00D01F1A"/>
    <w:rsid w:val="00D14C2F"/>
    <w:rsid w:val="00D207B9"/>
    <w:rsid w:val="00D21A2D"/>
    <w:rsid w:val="00D56CB2"/>
    <w:rsid w:val="00D921E7"/>
    <w:rsid w:val="00DC0B8B"/>
    <w:rsid w:val="00DC3BA4"/>
    <w:rsid w:val="00DE1ADF"/>
    <w:rsid w:val="00E404B8"/>
    <w:rsid w:val="00E741AF"/>
    <w:rsid w:val="00E742E3"/>
    <w:rsid w:val="00E84E41"/>
    <w:rsid w:val="00EA55BC"/>
    <w:rsid w:val="00EE4C54"/>
    <w:rsid w:val="00EF6FCD"/>
    <w:rsid w:val="00F03B02"/>
    <w:rsid w:val="00F07604"/>
    <w:rsid w:val="00F11D0A"/>
    <w:rsid w:val="00F32D6B"/>
    <w:rsid w:val="00F518C0"/>
    <w:rsid w:val="00F61996"/>
    <w:rsid w:val="00F7127D"/>
    <w:rsid w:val="00F72B43"/>
    <w:rsid w:val="00F97429"/>
    <w:rsid w:val="00FA45AE"/>
    <w:rsid w:val="00FB1AE3"/>
    <w:rsid w:val="00FD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FD5430"/>
    <w:pPr>
      <w:spacing w:before="60" w:after="6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FD5430"/>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3CAE-A696-4371-A88C-DC967E86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 schools - cleaning</dc:title>
  <dc:subject/>
  <dc:creator>Herefordshire Council</dc:creator>
  <cp:keywords>risk assessment;cleaning</cp:keywords>
  <dc:description/>
  <cp:lastModifiedBy>Walder, Rebecca</cp:lastModifiedBy>
  <cp:revision>6</cp:revision>
  <dcterms:created xsi:type="dcterms:W3CDTF">2024-03-28T11:31:00Z</dcterms:created>
  <dcterms:modified xsi:type="dcterms:W3CDTF">2024-07-08T14:37:00Z</dcterms:modified>
</cp:coreProperties>
</file>