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6520"/>
        <w:gridCol w:w="4262"/>
        <w:gridCol w:w="1508"/>
      </w:tblGrid>
      <w:tr w:rsidR="00E84E41" w:rsidRPr="008A76F1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8A76F1" w:rsidRDefault="00E84E41" w:rsidP="008A76F1">
            <w:pPr>
              <w:pStyle w:val="TableText"/>
            </w:pPr>
            <w:bookmarkStart w:id="0" w:name="_GoBack"/>
            <w:bookmarkEnd w:id="0"/>
            <w:r w:rsidRPr="008A76F1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8A76F1" w:rsidRDefault="00E84E41" w:rsidP="008A76F1">
            <w:pPr>
              <w:pStyle w:val="TableText"/>
            </w:pPr>
          </w:p>
        </w:tc>
      </w:tr>
      <w:tr w:rsidR="00E84E41" w:rsidRPr="008A76F1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8A76F1" w:rsidRDefault="008A76F1" w:rsidP="008A76F1">
            <w:pPr>
              <w:pStyle w:val="TableText"/>
            </w:pPr>
            <w:r w:rsidRPr="008A76F1">
              <w:t>Activity</w:t>
            </w:r>
            <w:r w:rsidR="00E84E41" w:rsidRPr="008A76F1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49550D90" w14:textId="5CE6A1F9" w:rsidR="00E84E41" w:rsidRPr="008A76F1" w:rsidRDefault="00830071" w:rsidP="008A76F1">
            <w:pPr>
              <w:pStyle w:val="TableText"/>
            </w:pPr>
            <w:r>
              <w:t>Contractors working on site</w:t>
            </w:r>
          </w:p>
        </w:tc>
      </w:tr>
      <w:tr w:rsidR="00E84E41" w:rsidRPr="008A76F1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8A76F1" w:rsidRDefault="008A76F1" w:rsidP="008A76F1">
            <w:pPr>
              <w:pStyle w:val="TableText"/>
            </w:pPr>
            <w:r w:rsidRPr="008A76F1">
              <w:t>Completed by</w:t>
            </w:r>
            <w:r w:rsidR="00E84E41" w:rsidRPr="008A76F1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8A76F1" w:rsidRDefault="00E84E41" w:rsidP="008A76F1">
            <w:pPr>
              <w:pStyle w:val="TableText"/>
            </w:pPr>
          </w:p>
        </w:tc>
      </w:tr>
      <w:tr w:rsidR="00E84E41" w:rsidRPr="008A76F1" w14:paraId="30DE1141" w14:textId="77777777" w:rsidTr="009A3116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8A76F1" w:rsidRDefault="00E84E41" w:rsidP="008A76F1">
            <w:pPr>
              <w:pStyle w:val="TableText"/>
              <w:jc w:val="center"/>
            </w:pPr>
            <w:r w:rsidRPr="008A76F1">
              <w:t>Hazards</w:t>
            </w:r>
          </w:p>
        </w:tc>
        <w:tc>
          <w:tcPr>
            <w:tcW w:w="1418" w:type="dxa"/>
            <w:vAlign w:val="center"/>
          </w:tcPr>
          <w:p w14:paraId="49C25D39" w14:textId="77777777" w:rsidR="00E84E41" w:rsidRPr="008A76F1" w:rsidRDefault="00E84E41" w:rsidP="008A76F1">
            <w:pPr>
              <w:pStyle w:val="TableText"/>
              <w:jc w:val="center"/>
            </w:pPr>
            <w:r w:rsidRPr="008A76F1">
              <w:t>Who is at risk?</w:t>
            </w:r>
          </w:p>
        </w:tc>
        <w:tc>
          <w:tcPr>
            <w:tcW w:w="6520" w:type="dxa"/>
            <w:vAlign w:val="center"/>
          </w:tcPr>
          <w:p w14:paraId="407F3424" w14:textId="77777777" w:rsidR="00E84E41" w:rsidRPr="008A76F1" w:rsidRDefault="00E84E41" w:rsidP="008A76F1">
            <w:pPr>
              <w:pStyle w:val="TableText"/>
              <w:jc w:val="center"/>
            </w:pPr>
            <w:r w:rsidRPr="008A76F1">
              <w:t>Current Control Measures</w:t>
            </w:r>
          </w:p>
        </w:tc>
        <w:tc>
          <w:tcPr>
            <w:tcW w:w="4262" w:type="dxa"/>
            <w:vAlign w:val="center"/>
          </w:tcPr>
          <w:p w14:paraId="6B001A26" w14:textId="77777777" w:rsidR="00E84E41" w:rsidRPr="008A76F1" w:rsidRDefault="00E84E41" w:rsidP="008A76F1">
            <w:pPr>
              <w:pStyle w:val="TableText"/>
              <w:jc w:val="center"/>
            </w:pPr>
            <w:r w:rsidRPr="008A76F1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8A76F1" w:rsidRDefault="00E84E41" w:rsidP="008A76F1">
            <w:pPr>
              <w:pStyle w:val="TableText"/>
              <w:jc w:val="center"/>
            </w:pPr>
            <w:r w:rsidRPr="008A76F1">
              <w:t>Timescale</w:t>
            </w:r>
          </w:p>
        </w:tc>
      </w:tr>
      <w:tr w:rsidR="009A3116" w:rsidRPr="008A76F1" w14:paraId="104FFF03" w14:textId="77777777" w:rsidTr="009A3116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5D17895E" w:rsidR="009A3116" w:rsidRPr="009A3116" w:rsidRDefault="009A3116" w:rsidP="009A3116">
            <w:pPr>
              <w:pStyle w:val="TableText"/>
            </w:pPr>
            <w:r w:rsidRPr="009A3116">
              <w:t>Injury to contractors or others through their work.</w:t>
            </w:r>
          </w:p>
        </w:tc>
        <w:tc>
          <w:tcPr>
            <w:tcW w:w="1418" w:type="dxa"/>
            <w:vAlign w:val="center"/>
          </w:tcPr>
          <w:p w14:paraId="39873290" w14:textId="77777777" w:rsidR="009A3116" w:rsidRDefault="009A3116" w:rsidP="009A3116">
            <w:pPr>
              <w:pStyle w:val="TableText"/>
              <w:jc w:val="center"/>
            </w:pPr>
            <w:r>
              <w:t>Contractors</w:t>
            </w:r>
          </w:p>
          <w:p w14:paraId="12AB9BC0" w14:textId="77777777" w:rsidR="009A3116" w:rsidRDefault="009A3116" w:rsidP="009A3116">
            <w:pPr>
              <w:pStyle w:val="TableText"/>
              <w:jc w:val="center"/>
            </w:pPr>
            <w:r>
              <w:t>Staff</w:t>
            </w:r>
          </w:p>
          <w:p w14:paraId="4B243924" w14:textId="5C82DBA1" w:rsidR="009A3116" w:rsidRPr="008A76F1" w:rsidRDefault="009A3116" w:rsidP="009A3116">
            <w:pPr>
              <w:pStyle w:val="TableText"/>
              <w:jc w:val="center"/>
            </w:pPr>
            <w:r>
              <w:t>Pupils</w:t>
            </w:r>
          </w:p>
        </w:tc>
        <w:tc>
          <w:tcPr>
            <w:tcW w:w="6520" w:type="dxa"/>
            <w:vAlign w:val="center"/>
          </w:tcPr>
          <w:p w14:paraId="16A8F84E" w14:textId="640C5B22" w:rsidR="006A67D3" w:rsidRDefault="006A67D3" w:rsidP="009A3116">
            <w:pPr>
              <w:pStyle w:val="TableText"/>
            </w:pPr>
            <w:r>
              <w:t>All contractors will be appointed following a formal approval system.</w:t>
            </w:r>
          </w:p>
          <w:p w14:paraId="5085B26C" w14:textId="3983F709" w:rsidR="006A67D3" w:rsidRPr="00612BDD" w:rsidRDefault="009A3116" w:rsidP="009A3116">
            <w:pPr>
              <w:pStyle w:val="TableText"/>
            </w:pPr>
            <w:r w:rsidRPr="00612BDD">
              <w:t xml:space="preserve">Contractors must supply a copy of their </w:t>
            </w:r>
            <w:r w:rsidR="006A67D3">
              <w:t xml:space="preserve">Method Statements, </w:t>
            </w:r>
            <w:r w:rsidRPr="00612BDD">
              <w:t>Risk Assessment and H&amp;S policy before working onsite.</w:t>
            </w:r>
          </w:p>
          <w:p w14:paraId="1DF10A49" w14:textId="77777777" w:rsidR="009A3116" w:rsidRPr="00612BDD" w:rsidRDefault="009A3116" w:rsidP="009A3116">
            <w:pPr>
              <w:pStyle w:val="TableText"/>
            </w:pPr>
            <w:r w:rsidRPr="00612BDD">
              <w:t>Contractors will use designated entrance/exit points to the site.</w:t>
            </w:r>
          </w:p>
          <w:p w14:paraId="62E5CA90" w14:textId="77777777" w:rsidR="009A3116" w:rsidRPr="00612BDD" w:rsidRDefault="009A3116" w:rsidP="009A3116">
            <w:pPr>
              <w:pStyle w:val="TableText"/>
            </w:pPr>
            <w:r w:rsidRPr="00612BDD">
              <w:t>Where contractors need to bring vehicles on to site, this will be done wherever possible outside of pickup &amp; drop off times.</w:t>
            </w:r>
            <w:r>
              <w:t xml:space="preserve">  All vehicle movements will be controlled by a competent person.</w:t>
            </w:r>
          </w:p>
          <w:p w14:paraId="19BA88B3" w14:textId="6D18A49E" w:rsidR="009A3116" w:rsidRPr="00612BDD" w:rsidRDefault="009A3116" w:rsidP="009A3116">
            <w:pPr>
              <w:pStyle w:val="TableText"/>
            </w:pPr>
            <w:r w:rsidRPr="00612BDD">
              <w:t xml:space="preserve">The school has a permit to work </w:t>
            </w:r>
            <w:r w:rsidRPr="009A3116">
              <w:t>system</w:t>
            </w:r>
            <w:r w:rsidRPr="00612BDD">
              <w:t xml:space="preserve"> in place</w:t>
            </w:r>
            <w:r w:rsidR="001A72E2">
              <w:t xml:space="preserve"> for hot works and asbestos</w:t>
            </w:r>
            <w:r w:rsidRPr="00612BDD">
              <w:t>.</w:t>
            </w:r>
          </w:p>
          <w:p w14:paraId="3933D16A" w14:textId="4742AFED" w:rsidR="009A3116" w:rsidRPr="00612BDD" w:rsidRDefault="009A3116" w:rsidP="009A3116">
            <w:pPr>
              <w:pStyle w:val="TableText"/>
            </w:pPr>
            <w:r w:rsidRPr="00612BDD">
              <w:t xml:space="preserve">Contractors must provide COSHH information for any harmful substances used </w:t>
            </w:r>
            <w:r w:rsidR="001A72E2">
              <w:t xml:space="preserve">or stored </w:t>
            </w:r>
            <w:r w:rsidRPr="00612BDD">
              <w:t>on site.</w:t>
            </w:r>
          </w:p>
          <w:p w14:paraId="50FE9D8F" w14:textId="5B12E0D3" w:rsidR="009A3116" w:rsidRDefault="009A3116" w:rsidP="009A3116">
            <w:pPr>
              <w:pStyle w:val="TableText"/>
            </w:pPr>
            <w:r w:rsidRPr="00612BDD">
              <w:t>The contractors must have suitable emergency procedures in place, including controlling the risk of fire presented by their work.</w:t>
            </w:r>
            <w:r w:rsidR="001A72E2">
              <w:t xml:space="preserve"> All hot works are followed by a fire-watch period of 60 minutes.</w:t>
            </w:r>
          </w:p>
          <w:p w14:paraId="4079F862" w14:textId="77777777" w:rsidR="009A3116" w:rsidRPr="00612BDD" w:rsidRDefault="009A3116" w:rsidP="009A3116">
            <w:pPr>
              <w:pStyle w:val="TableText"/>
            </w:pPr>
            <w:r>
              <w:t>The school will review their escape routes while works are taking place on site, to ensure they are still safe to use.</w:t>
            </w:r>
          </w:p>
          <w:p w14:paraId="4083A460" w14:textId="09058E06" w:rsidR="009A3116" w:rsidRDefault="009A3116" w:rsidP="009A3116">
            <w:pPr>
              <w:pStyle w:val="TableText"/>
            </w:pPr>
            <w:r w:rsidRPr="00612BDD">
              <w:t>Contractors will display adequate signage notifying of all hazards.</w:t>
            </w:r>
          </w:p>
          <w:p w14:paraId="3526302E" w14:textId="3A731506" w:rsidR="00762B4D" w:rsidRDefault="00762B4D" w:rsidP="009A3116">
            <w:pPr>
              <w:pStyle w:val="TableText"/>
            </w:pPr>
            <w:r>
              <w:t>All projects must be completed in line with the Construction, Design and Maintenance regulations 2015.</w:t>
            </w:r>
          </w:p>
          <w:p w14:paraId="0E1AFFD1" w14:textId="3DB1E177" w:rsidR="00762B4D" w:rsidRDefault="00762B4D" w:rsidP="009A3116">
            <w:pPr>
              <w:pStyle w:val="TableText"/>
            </w:pPr>
            <w:r>
              <w:t>An F10 form must be submitted to the HSE if the following applies to any construction project which:</w:t>
            </w:r>
          </w:p>
          <w:p w14:paraId="6EFDB2BA" w14:textId="6C235E35" w:rsidR="00762B4D" w:rsidRDefault="00762B4D" w:rsidP="00762B4D">
            <w:pPr>
              <w:pStyle w:val="Bullets"/>
            </w:pPr>
            <w:r>
              <w:t>lasts longer than 30 working days </w:t>
            </w:r>
            <w:r>
              <w:rPr>
                <w:rStyle w:val="Strong"/>
                <w:rFonts w:cs="Arial"/>
                <w:color w:val="111111"/>
                <w:sz w:val="27"/>
                <w:szCs w:val="27"/>
              </w:rPr>
              <w:t>and</w:t>
            </w:r>
            <w:r>
              <w:t> have more than 20 workers working at the same time at any point on the project; or,</w:t>
            </w:r>
          </w:p>
          <w:p w14:paraId="15BE6F67" w14:textId="23E1F823" w:rsidR="00762B4D" w:rsidRDefault="00762B4D" w:rsidP="00762B4D">
            <w:pPr>
              <w:pStyle w:val="Bullets"/>
            </w:pPr>
            <w:r>
              <w:lastRenderedPageBreak/>
              <w:t>exceeds 500 person days</w:t>
            </w:r>
          </w:p>
          <w:p w14:paraId="764BA047" w14:textId="27FF5250" w:rsidR="009A3116" w:rsidRPr="00612BDD" w:rsidRDefault="009A3116" w:rsidP="00762B4D">
            <w:pPr>
              <w:pStyle w:val="TableText"/>
            </w:pPr>
            <w:r w:rsidRPr="00612BDD">
              <w:t xml:space="preserve">Head Teachers retain the </w:t>
            </w:r>
            <w:r>
              <w:t>responsibility</w:t>
            </w:r>
            <w:r w:rsidRPr="00612BDD">
              <w:t xml:space="preserve"> to stop work being carried out on site if it poses a risk to the occupants of the school.</w:t>
            </w:r>
          </w:p>
          <w:p w14:paraId="0A11AFAF" w14:textId="77777777" w:rsidR="009A3116" w:rsidRDefault="009A3116" w:rsidP="009A3116">
            <w:pPr>
              <w:pStyle w:val="TableText"/>
            </w:pPr>
            <w:r w:rsidRPr="00612BDD">
              <w:t>Where possible, work will take place away from areas where it may cause disturbance to Staff or Pupils, or take place outside of school opening hours.</w:t>
            </w:r>
          </w:p>
          <w:p w14:paraId="47B1029A" w14:textId="44C437EC" w:rsidR="009A3116" w:rsidRPr="008A76F1" w:rsidRDefault="009A3116" w:rsidP="009A3116">
            <w:pPr>
              <w:pStyle w:val="TableText"/>
            </w:pPr>
            <w:r>
              <w:t>Where work sites are not already separate from pupil accessible areas, they will be suitably separated by fencing.</w:t>
            </w:r>
          </w:p>
        </w:tc>
        <w:tc>
          <w:tcPr>
            <w:tcW w:w="4262" w:type="dxa"/>
            <w:vAlign w:val="center"/>
          </w:tcPr>
          <w:p w14:paraId="6CBDB6B1" w14:textId="77777777" w:rsidR="009A3116" w:rsidRPr="008A76F1" w:rsidRDefault="009A3116" w:rsidP="009A311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516A1F5" w14:textId="77777777" w:rsidR="009A3116" w:rsidRPr="008A76F1" w:rsidRDefault="009A3116" w:rsidP="009A3116">
            <w:pPr>
              <w:pStyle w:val="TableText"/>
              <w:jc w:val="center"/>
            </w:pPr>
          </w:p>
        </w:tc>
      </w:tr>
      <w:tr w:rsidR="009A3116" w:rsidRPr="008A76F1" w14:paraId="6FC87FF1" w14:textId="77777777" w:rsidTr="009A3116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6AFDBDE7" w:rsidR="009A3116" w:rsidRPr="009A3116" w:rsidRDefault="009A3116" w:rsidP="009A3116">
            <w:pPr>
              <w:pStyle w:val="TableText"/>
            </w:pPr>
            <w:r w:rsidRPr="009A3116">
              <w:t>Injury to contractors or others due to school processes.</w:t>
            </w:r>
          </w:p>
        </w:tc>
        <w:tc>
          <w:tcPr>
            <w:tcW w:w="1418" w:type="dxa"/>
            <w:vAlign w:val="center"/>
          </w:tcPr>
          <w:p w14:paraId="4C7147AF" w14:textId="77777777" w:rsidR="009A3116" w:rsidRDefault="009A3116" w:rsidP="009A3116">
            <w:pPr>
              <w:pStyle w:val="TableText"/>
              <w:jc w:val="center"/>
            </w:pPr>
            <w:r>
              <w:t>Contractors</w:t>
            </w:r>
          </w:p>
          <w:p w14:paraId="33A86DE2" w14:textId="77777777" w:rsidR="009A3116" w:rsidRDefault="009A3116" w:rsidP="009A3116">
            <w:pPr>
              <w:pStyle w:val="TableText"/>
              <w:jc w:val="center"/>
            </w:pPr>
            <w:r>
              <w:t>Staff</w:t>
            </w:r>
          </w:p>
          <w:p w14:paraId="0099FD1F" w14:textId="0D7A1268" w:rsidR="009A3116" w:rsidRPr="008A76F1" w:rsidRDefault="009A3116" w:rsidP="009A3116">
            <w:pPr>
              <w:pStyle w:val="TableText"/>
              <w:jc w:val="center"/>
            </w:pPr>
            <w:r>
              <w:t>Pupils</w:t>
            </w:r>
          </w:p>
        </w:tc>
        <w:tc>
          <w:tcPr>
            <w:tcW w:w="6520" w:type="dxa"/>
            <w:vAlign w:val="center"/>
          </w:tcPr>
          <w:p w14:paraId="36A23A97" w14:textId="77777777" w:rsidR="009A3116" w:rsidRDefault="009A3116" w:rsidP="009A3116">
            <w:pPr>
              <w:pStyle w:val="TableText"/>
            </w:pPr>
            <w:r>
              <w:t xml:space="preserve">All contractors will be shown the asbestos register upon entry to the site and will sign upon reading. </w:t>
            </w:r>
          </w:p>
          <w:p w14:paraId="2CA00B98" w14:textId="77777777" w:rsidR="009A3116" w:rsidRDefault="009A3116" w:rsidP="009A3116">
            <w:pPr>
              <w:pStyle w:val="TableText"/>
            </w:pPr>
            <w:r>
              <w:t>All contractors will be fully briefed in the schools procedures for fire safety, first aid and safeguarding.</w:t>
            </w:r>
          </w:p>
          <w:p w14:paraId="2632C232" w14:textId="77777777" w:rsidR="009A3116" w:rsidRDefault="009A3116" w:rsidP="009A3116">
            <w:pPr>
              <w:pStyle w:val="TableText"/>
            </w:pPr>
            <w:r>
              <w:t>The school will share a copy of its Health &amp; Safety Policy with the contractors.</w:t>
            </w:r>
          </w:p>
          <w:p w14:paraId="26CCB921" w14:textId="77777777" w:rsidR="009A3116" w:rsidRDefault="009A3116" w:rsidP="009A3116">
            <w:pPr>
              <w:pStyle w:val="TableText"/>
            </w:pPr>
            <w:r>
              <w:t>The school will make contractors aware of any hazards they may identify which could impact their safety.</w:t>
            </w:r>
          </w:p>
          <w:p w14:paraId="623EFAC1" w14:textId="77777777" w:rsidR="009A3116" w:rsidRDefault="009A3116" w:rsidP="009A3116">
            <w:pPr>
              <w:pStyle w:val="TableText"/>
            </w:pPr>
            <w:r>
              <w:t>Alternative entry &amp; exit routes, including emergency exits, will be recorded and communicated to staff and pupils where necessary, for example if part of the site becomes inaccessible while contractor are working.</w:t>
            </w:r>
          </w:p>
          <w:p w14:paraId="2E9038AC" w14:textId="2364E4BC" w:rsidR="00E727D5" w:rsidRPr="0084142B" w:rsidRDefault="00E727D5" w:rsidP="009A3116">
            <w:pPr>
              <w:pStyle w:val="TableText"/>
            </w:pPr>
            <w:r>
              <w:t>Contractors will complete a Health and Safety return prior to being appointed.</w:t>
            </w:r>
          </w:p>
        </w:tc>
        <w:tc>
          <w:tcPr>
            <w:tcW w:w="4262" w:type="dxa"/>
            <w:vAlign w:val="center"/>
          </w:tcPr>
          <w:p w14:paraId="6DDAF0FB" w14:textId="77777777" w:rsidR="009A3116" w:rsidRPr="008A76F1" w:rsidRDefault="009A3116" w:rsidP="009A311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35BB201" w14:textId="77777777" w:rsidR="009A3116" w:rsidRPr="008A76F1" w:rsidRDefault="009A3116" w:rsidP="009A3116">
            <w:pPr>
              <w:pStyle w:val="TableText"/>
              <w:jc w:val="center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8"/>
          <w:footerReference w:type="default" r:id="rId9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lastRenderedPageBreak/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C0C50"/>
    <w:multiLevelType w:val="multilevel"/>
    <w:tmpl w:val="06CC1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16"/>
  </w:num>
  <w:num w:numId="22">
    <w:abstractNumId w:val="19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21F95"/>
    <w:rsid w:val="0002201C"/>
    <w:rsid w:val="00022806"/>
    <w:rsid w:val="00057192"/>
    <w:rsid w:val="000D73A1"/>
    <w:rsid w:val="00104805"/>
    <w:rsid w:val="00137B38"/>
    <w:rsid w:val="0014361E"/>
    <w:rsid w:val="0015442F"/>
    <w:rsid w:val="001A55FE"/>
    <w:rsid w:val="001A72E2"/>
    <w:rsid w:val="00202359"/>
    <w:rsid w:val="00205BA7"/>
    <w:rsid w:val="0020727E"/>
    <w:rsid w:val="00245277"/>
    <w:rsid w:val="00250A55"/>
    <w:rsid w:val="00282A1E"/>
    <w:rsid w:val="002906E6"/>
    <w:rsid w:val="002B6C13"/>
    <w:rsid w:val="002D1B78"/>
    <w:rsid w:val="00360F6A"/>
    <w:rsid w:val="003A6C24"/>
    <w:rsid w:val="003C2371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D626E"/>
    <w:rsid w:val="005E0AFC"/>
    <w:rsid w:val="006A16F6"/>
    <w:rsid w:val="006A67D3"/>
    <w:rsid w:val="006B212C"/>
    <w:rsid w:val="006D1CB9"/>
    <w:rsid w:val="00762B4D"/>
    <w:rsid w:val="007A76F7"/>
    <w:rsid w:val="007D252E"/>
    <w:rsid w:val="00830071"/>
    <w:rsid w:val="0084142B"/>
    <w:rsid w:val="00880B03"/>
    <w:rsid w:val="0088640C"/>
    <w:rsid w:val="008A369D"/>
    <w:rsid w:val="008A37FA"/>
    <w:rsid w:val="008A76F1"/>
    <w:rsid w:val="008F1C14"/>
    <w:rsid w:val="00906827"/>
    <w:rsid w:val="00991E6F"/>
    <w:rsid w:val="009921C3"/>
    <w:rsid w:val="009A3116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42CD"/>
    <w:rsid w:val="00B77EB4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56CB2"/>
    <w:rsid w:val="00D921E7"/>
    <w:rsid w:val="00DC0B8B"/>
    <w:rsid w:val="00DC3BA4"/>
    <w:rsid w:val="00E404B8"/>
    <w:rsid w:val="00E727D5"/>
    <w:rsid w:val="00E741AF"/>
    <w:rsid w:val="00E742E3"/>
    <w:rsid w:val="00E84E41"/>
    <w:rsid w:val="00EA55BC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qFormat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8A76F1"/>
    <w:pPr>
      <w:spacing w:before="60" w:after="60"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8A76F1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F9A7-EEA2-4FEE-9CF2-CC94A1FE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contractors</dc:title>
  <dc:subject/>
  <dc:creator>Herefordshire Council</dc:creator>
  <cp:keywords>risk assessment;contractor</cp:keywords>
  <dc:description/>
  <cp:lastModifiedBy>Walder, Rebecca</cp:lastModifiedBy>
  <cp:revision>4</cp:revision>
  <dcterms:created xsi:type="dcterms:W3CDTF">2024-03-28T16:34:00Z</dcterms:created>
  <dcterms:modified xsi:type="dcterms:W3CDTF">2024-07-08T14:37:00Z</dcterms:modified>
</cp:coreProperties>
</file>