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1" w:rsidRDefault="00935861" w:rsidP="004C34BE"/>
    <w:tbl>
      <w:tblPr>
        <w:tblW w:w="156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567"/>
        <w:gridCol w:w="567"/>
        <w:gridCol w:w="992"/>
        <w:gridCol w:w="3828"/>
        <w:gridCol w:w="567"/>
        <w:gridCol w:w="434"/>
        <w:gridCol w:w="851"/>
        <w:gridCol w:w="3118"/>
        <w:gridCol w:w="1508"/>
      </w:tblGrid>
      <w:tr w:rsidR="00E078E9" w:rsidRPr="00170E00" w:rsidTr="00F750B1">
        <w:trPr>
          <w:trHeight w:val="404"/>
        </w:trPr>
        <w:tc>
          <w:tcPr>
            <w:tcW w:w="2127" w:type="dxa"/>
          </w:tcPr>
          <w:p w:rsidR="00E078E9" w:rsidRPr="00067630" w:rsidRDefault="00E078E9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School Name:</w:t>
            </w:r>
          </w:p>
          <w:p w:rsidR="00E078E9" w:rsidRPr="00067630" w:rsidRDefault="00E078E9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6" w:type="dxa"/>
            <w:gridSpan w:val="10"/>
          </w:tcPr>
          <w:p w:rsidR="00E078E9" w:rsidRPr="00067630" w:rsidRDefault="00E078E9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8E9" w:rsidRPr="00170E00" w:rsidTr="00F750B1">
        <w:trPr>
          <w:trHeight w:val="404"/>
        </w:trPr>
        <w:tc>
          <w:tcPr>
            <w:tcW w:w="2127" w:type="dxa"/>
          </w:tcPr>
          <w:p w:rsidR="00E078E9" w:rsidRPr="00067630" w:rsidRDefault="00E078E9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Activity Description:</w:t>
            </w:r>
          </w:p>
        </w:tc>
        <w:tc>
          <w:tcPr>
            <w:tcW w:w="13566" w:type="dxa"/>
            <w:gridSpan w:val="10"/>
          </w:tcPr>
          <w:p w:rsidR="00E078E9" w:rsidRPr="00067630" w:rsidRDefault="00F750B1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Display screen equipment</w:t>
            </w:r>
          </w:p>
        </w:tc>
      </w:tr>
      <w:tr w:rsidR="00E078E9" w:rsidRPr="00170E00" w:rsidTr="00F750B1">
        <w:trPr>
          <w:trHeight w:val="404"/>
        </w:trPr>
        <w:tc>
          <w:tcPr>
            <w:tcW w:w="2127" w:type="dxa"/>
          </w:tcPr>
          <w:p w:rsidR="00E078E9" w:rsidRPr="00067630" w:rsidRDefault="00E078E9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Person Completing:</w:t>
            </w:r>
          </w:p>
        </w:tc>
        <w:tc>
          <w:tcPr>
            <w:tcW w:w="13566" w:type="dxa"/>
            <w:gridSpan w:val="10"/>
          </w:tcPr>
          <w:p w:rsidR="00E078E9" w:rsidRPr="00067630" w:rsidRDefault="00E078E9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30C0" w:rsidRPr="00170E00" w:rsidTr="00F750B1">
        <w:trPr>
          <w:trHeight w:val="470"/>
        </w:trPr>
        <w:tc>
          <w:tcPr>
            <w:tcW w:w="2127" w:type="dxa"/>
          </w:tcPr>
          <w:p w:rsidR="001B30C0" w:rsidRPr="00067630" w:rsidRDefault="001B30C0" w:rsidP="009A27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Hazards</w:t>
            </w:r>
          </w:p>
        </w:tc>
        <w:tc>
          <w:tcPr>
            <w:tcW w:w="1134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Who is at risk?</w:t>
            </w:r>
          </w:p>
        </w:tc>
        <w:tc>
          <w:tcPr>
            <w:tcW w:w="567" w:type="dxa"/>
          </w:tcPr>
          <w:p w:rsidR="001B30C0" w:rsidRPr="00067630" w:rsidRDefault="00413A69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1B30C0" w:rsidRPr="00067630" w:rsidRDefault="00413A69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Risk</w:t>
            </w:r>
          </w:p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(L*S)</w:t>
            </w:r>
          </w:p>
        </w:tc>
        <w:tc>
          <w:tcPr>
            <w:tcW w:w="3828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Current Control Measures</w:t>
            </w:r>
          </w:p>
        </w:tc>
        <w:tc>
          <w:tcPr>
            <w:tcW w:w="567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434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Risk</w:t>
            </w:r>
          </w:p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(L*S)</w:t>
            </w:r>
          </w:p>
        </w:tc>
        <w:tc>
          <w:tcPr>
            <w:tcW w:w="3118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Additional Requirements</w:t>
            </w:r>
          </w:p>
        </w:tc>
        <w:tc>
          <w:tcPr>
            <w:tcW w:w="1508" w:type="dxa"/>
          </w:tcPr>
          <w:p w:rsidR="001B30C0" w:rsidRPr="00067630" w:rsidRDefault="001B30C0" w:rsidP="009A2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630">
              <w:rPr>
                <w:rFonts w:ascii="Arial" w:hAnsi="Arial" w:cs="Arial"/>
                <w:b/>
                <w:sz w:val="24"/>
                <w:szCs w:val="24"/>
              </w:rPr>
              <w:t>Timescale</w:t>
            </w:r>
          </w:p>
        </w:tc>
      </w:tr>
      <w:tr w:rsidR="00F750B1" w:rsidRPr="00170E00" w:rsidTr="00F750B1">
        <w:trPr>
          <w:trHeight w:val="470"/>
        </w:trPr>
        <w:tc>
          <w:tcPr>
            <w:tcW w:w="2127" w:type="dxa"/>
          </w:tcPr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  <w:r w:rsidRPr="00B6218A">
              <w:rPr>
                <w:rFonts w:ascii="Arial" w:hAnsi="Arial" w:cs="Arial"/>
                <w:sz w:val="24"/>
              </w:rPr>
              <w:t>Work Related Neck and Upper Limb Disorders (WRULDS)</w:t>
            </w:r>
          </w:p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  <w:r w:rsidRPr="00B6218A">
              <w:rPr>
                <w:rFonts w:ascii="Arial" w:hAnsi="Arial" w:cs="Arial"/>
                <w:sz w:val="24"/>
              </w:rPr>
              <w:t>Repetitive Strain Injury (RSI)</w:t>
            </w:r>
          </w:p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  <w:r w:rsidRPr="00B6218A">
              <w:rPr>
                <w:rFonts w:ascii="Arial" w:hAnsi="Arial" w:cs="Arial"/>
                <w:sz w:val="24"/>
              </w:rPr>
              <w:t>Headaches</w:t>
            </w:r>
          </w:p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  <w:r w:rsidRPr="00B6218A">
              <w:rPr>
                <w:rFonts w:ascii="Arial" w:hAnsi="Arial" w:cs="Arial"/>
                <w:sz w:val="24"/>
              </w:rPr>
              <w:t>Eye Problems</w:t>
            </w:r>
          </w:p>
        </w:tc>
        <w:tc>
          <w:tcPr>
            <w:tcW w:w="1134" w:type="dxa"/>
          </w:tcPr>
          <w:p w:rsidR="00F750B1" w:rsidRPr="00F750B1" w:rsidRDefault="00F750B1" w:rsidP="00F750B1">
            <w:pPr>
              <w:jc w:val="center"/>
              <w:rPr>
                <w:rFonts w:ascii="Arial" w:hAnsi="Arial" w:cs="Arial"/>
              </w:rPr>
            </w:pPr>
            <w:r w:rsidRPr="00F750B1">
              <w:rPr>
                <w:rFonts w:ascii="Arial" w:hAnsi="Arial" w:cs="Arial"/>
              </w:rPr>
              <w:t>Staff</w:t>
            </w:r>
          </w:p>
        </w:tc>
        <w:tc>
          <w:tcPr>
            <w:tcW w:w="567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All regular DSE users have completed a DSE assessment, which has been reviewed by their line manager.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DSE assessments are reviewed regularly, especially where there have been changes to the setup of the workstation.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All staff have access to appropriate guidance on the safe use of DSE.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lastRenderedPageBreak/>
              <w:t>Any issues highlighted in the DSE assessment will be rectified promptly.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All DSE users have access suitable DSE equipment.  As a minimum, staff have access to a Desk, DSE compliant chair, a separate Screen, mouse and Keyboard.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Staff are encouraged to take regular breaks from DSE work.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Staff are aware of their entitlement to Subsidised Eye tests and Eyeglasses where required solely for DSE work.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The environment must be suitable for sustained DSE work, with sufficient lighting, adjustable blinds, ventilation, temperature control and noise control.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DSE assessments will be reviewed annually, whenever there is a significant change to the work setup, or whenever issues arise that may be caused by DSE use.</w:t>
            </w:r>
          </w:p>
        </w:tc>
        <w:tc>
          <w:tcPr>
            <w:tcW w:w="567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50B1" w:rsidRPr="00170E00" w:rsidTr="00F750B1">
        <w:trPr>
          <w:trHeight w:val="470"/>
        </w:trPr>
        <w:tc>
          <w:tcPr>
            <w:tcW w:w="2127" w:type="dxa"/>
          </w:tcPr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  <w:r w:rsidRPr="00B6218A">
              <w:rPr>
                <w:rFonts w:ascii="Arial" w:hAnsi="Arial" w:cs="Arial"/>
                <w:sz w:val="24"/>
              </w:rPr>
              <w:t>Trip Hazards</w:t>
            </w:r>
          </w:p>
        </w:tc>
        <w:tc>
          <w:tcPr>
            <w:tcW w:w="1134" w:type="dxa"/>
          </w:tcPr>
          <w:p w:rsidR="00F750B1" w:rsidRPr="00F750B1" w:rsidRDefault="00F750B1" w:rsidP="00F750B1">
            <w:pPr>
              <w:jc w:val="center"/>
              <w:rPr>
                <w:rFonts w:ascii="Arial" w:hAnsi="Arial" w:cs="Arial"/>
              </w:rPr>
            </w:pPr>
            <w:r w:rsidRPr="00F750B1">
              <w:rPr>
                <w:rFonts w:ascii="Arial" w:hAnsi="Arial" w:cs="Arial"/>
              </w:rPr>
              <w:t>Staff</w:t>
            </w:r>
          </w:p>
          <w:p w:rsidR="00F750B1" w:rsidRPr="00F750B1" w:rsidRDefault="00F750B1" w:rsidP="00F750B1">
            <w:pPr>
              <w:jc w:val="center"/>
              <w:rPr>
                <w:rFonts w:ascii="Arial" w:hAnsi="Arial" w:cs="Arial"/>
              </w:rPr>
            </w:pPr>
            <w:r w:rsidRPr="00F750B1">
              <w:rPr>
                <w:rFonts w:ascii="Arial" w:hAnsi="Arial" w:cs="Arial"/>
              </w:rPr>
              <w:t>Pupils</w:t>
            </w:r>
          </w:p>
        </w:tc>
        <w:tc>
          <w:tcPr>
            <w:tcW w:w="567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All DSE equipment must be set up in a way that does not introduce trip hazards in to the environment.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DSE equipment will be positioned near to Network/Electrical outlets where possible.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Where cables must cross walkways, suitable cable covers will be used to reduce trip hazards.</w:t>
            </w:r>
          </w:p>
        </w:tc>
        <w:tc>
          <w:tcPr>
            <w:tcW w:w="567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50B1" w:rsidRPr="00170E00" w:rsidTr="00F750B1">
        <w:trPr>
          <w:trHeight w:val="317"/>
        </w:trPr>
        <w:tc>
          <w:tcPr>
            <w:tcW w:w="2127" w:type="dxa"/>
          </w:tcPr>
          <w:p w:rsidR="00F750B1" w:rsidRPr="00B6218A" w:rsidRDefault="00F750B1" w:rsidP="00F750B1">
            <w:pPr>
              <w:rPr>
                <w:rFonts w:ascii="Arial" w:hAnsi="Arial" w:cs="Arial"/>
                <w:sz w:val="24"/>
              </w:rPr>
            </w:pPr>
            <w:r w:rsidRPr="00B6218A">
              <w:rPr>
                <w:rFonts w:ascii="Arial" w:hAnsi="Arial" w:cs="Arial"/>
                <w:sz w:val="24"/>
              </w:rPr>
              <w:t>Fire/Electrocution Risk - Portable Appliance Testing (PAT)</w:t>
            </w:r>
          </w:p>
        </w:tc>
        <w:tc>
          <w:tcPr>
            <w:tcW w:w="1134" w:type="dxa"/>
          </w:tcPr>
          <w:p w:rsidR="00F750B1" w:rsidRPr="00F750B1" w:rsidRDefault="00F750B1" w:rsidP="00F750B1">
            <w:pPr>
              <w:jc w:val="center"/>
              <w:rPr>
                <w:rFonts w:ascii="Arial" w:hAnsi="Arial" w:cs="Arial"/>
              </w:rPr>
            </w:pPr>
            <w:r w:rsidRPr="00F750B1">
              <w:rPr>
                <w:rFonts w:ascii="Arial" w:hAnsi="Arial" w:cs="Arial"/>
              </w:rPr>
              <w:t>Staff</w:t>
            </w:r>
          </w:p>
          <w:p w:rsidR="00F750B1" w:rsidRPr="00F750B1" w:rsidRDefault="00F750B1" w:rsidP="00F750B1">
            <w:pPr>
              <w:jc w:val="center"/>
              <w:rPr>
                <w:rFonts w:ascii="Arial" w:hAnsi="Arial" w:cs="Arial"/>
              </w:rPr>
            </w:pPr>
            <w:r w:rsidRPr="00F750B1">
              <w:rPr>
                <w:rFonts w:ascii="Arial" w:hAnsi="Arial" w:cs="Arial"/>
              </w:rPr>
              <w:t>Pupils</w:t>
            </w:r>
          </w:p>
        </w:tc>
        <w:tc>
          <w:tcPr>
            <w:tcW w:w="567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50B1" w:rsidRPr="00067630" w:rsidRDefault="00F750B1" w:rsidP="00F75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All portable electrical appliances are subject to User Checks, Formal Visual Inspection, and Combined Inspection and Testing, where appropriate to the device.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All inspection and testing is carried out in line with recommendations given in HSG107: Maintaining Portable Electrical Equipment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DSE equipment is cleaned and maintained in line with the manufacturer’s guidance.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DSE equipment is kept free of any clutter that may obstruct airflow, especially around cooling vents.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>DSE equipment is never set up in a way that exposes it to the risk of water ingress.</w:t>
            </w:r>
          </w:p>
          <w:p w:rsidR="00F750B1" w:rsidRPr="00F750B1" w:rsidRDefault="00F750B1" w:rsidP="00F750B1">
            <w:pPr>
              <w:rPr>
                <w:rFonts w:ascii="Arial" w:hAnsi="Arial" w:cs="Arial"/>
                <w:sz w:val="24"/>
              </w:rPr>
            </w:pPr>
            <w:r w:rsidRPr="00F750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:rsidR="00F750B1" w:rsidRPr="00854A36" w:rsidRDefault="00F750B1" w:rsidP="00F750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7630" w:rsidRPr="009A27E5" w:rsidRDefault="00067630" w:rsidP="009A27E5">
      <w:pPr>
        <w:tabs>
          <w:tab w:val="center" w:pos="7568"/>
        </w:tabs>
        <w:sectPr w:rsidR="00067630" w:rsidRPr="009A27E5" w:rsidSect="009A27E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851" w:right="851" w:bottom="851" w:left="851" w:header="510" w:footer="850" w:gutter="0"/>
          <w:cols w:space="708"/>
          <w:titlePg/>
          <w:docGrid w:linePitch="360"/>
        </w:sect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7513"/>
      </w:tblGrid>
      <w:tr w:rsidR="0050701F" w:rsidRPr="00170E00" w:rsidTr="00233FAC">
        <w:trPr>
          <w:trHeight w:val="369"/>
        </w:trPr>
        <w:tc>
          <w:tcPr>
            <w:tcW w:w="1984" w:type="dxa"/>
            <w:vAlign w:val="center"/>
          </w:tcPr>
          <w:p w:rsidR="0050701F" w:rsidRPr="009A27E5" w:rsidRDefault="0050701F" w:rsidP="005F4214">
            <w:pPr>
              <w:rPr>
                <w:rFonts w:ascii="Arial" w:hAnsi="Arial" w:cs="Arial"/>
                <w:bCs/>
                <w:sz w:val="24"/>
              </w:rPr>
            </w:pPr>
            <w:r w:rsidRPr="009A27E5">
              <w:rPr>
                <w:rFonts w:ascii="Arial" w:hAnsi="Arial" w:cs="Arial"/>
                <w:bCs/>
                <w:sz w:val="24"/>
              </w:rPr>
              <w:t>Initial Assessment</w:t>
            </w:r>
          </w:p>
          <w:p w:rsidR="0050701F" w:rsidRPr="009A27E5" w:rsidRDefault="0050701F" w:rsidP="005F4214">
            <w:pPr>
              <w:rPr>
                <w:rFonts w:ascii="Arial" w:hAnsi="Arial" w:cs="Arial"/>
                <w:bCs/>
                <w:sz w:val="24"/>
              </w:rPr>
            </w:pPr>
            <w:r w:rsidRPr="009A27E5">
              <w:rPr>
                <w:rFonts w:ascii="Arial" w:hAnsi="Arial" w:cs="Arial"/>
                <w:bCs/>
                <w:sz w:val="24"/>
              </w:rPr>
              <w:t>Review Date</w:t>
            </w:r>
          </w:p>
          <w:p w:rsidR="00291F6A" w:rsidRPr="009A27E5" w:rsidRDefault="00291F6A" w:rsidP="005F4214">
            <w:pPr>
              <w:rPr>
                <w:rFonts w:ascii="Arial" w:hAnsi="Arial" w:cs="Arial"/>
                <w:bCs/>
                <w:sz w:val="24"/>
              </w:rPr>
            </w:pPr>
          </w:p>
          <w:p w:rsidR="0050701F" w:rsidRPr="009A27E5" w:rsidRDefault="0050701F" w:rsidP="005F4214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379" w:type="dxa"/>
            <w:vAlign w:val="center"/>
          </w:tcPr>
          <w:p w:rsidR="0050701F" w:rsidRPr="009A27E5" w:rsidRDefault="0050701F" w:rsidP="00E078E9">
            <w:pPr>
              <w:rPr>
                <w:rFonts w:ascii="Arial" w:hAnsi="Arial" w:cs="Arial"/>
                <w:b/>
                <w:sz w:val="24"/>
              </w:rPr>
            </w:pPr>
            <w:r w:rsidRPr="009A27E5">
              <w:rPr>
                <w:rFonts w:ascii="Arial" w:hAnsi="Arial" w:cs="Arial"/>
                <w:b/>
                <w:bCs/>
                <w:sz w:val="24"/>
              </w:rPr>
              <w:t>Risk Assessment</w:t>
            </w:r>
            <w:r w:rsidR="00C04CE0" w:rsidRPr="009A27E5">
              <w:rPr>
                <w:rFonts w:ascii="Arial" w:hAnsi="Arial" w:cs="Arial"/>
                <w:b/>
                <w:bCs/>
                <w:sz w:val="24"/>
              </w:rPr>
              <w:t xml:space="preserve"> assessed,</w:t>
            </w:r>
            <w:r w:rsidR="00291F6A" w:rsidRPr="009A27E5">
              <w:rPr>
                <w:rFonts w:ascii="Arial" w:hAnsi="Arial" w:cs="Arial"/>
                <w:b/>
                <w:bCs/>
                <w:sz w:val="24"/>
              </w:rPr>
              <w:t xml:space="preserve"> reviewed </w:t>
            </w:r>
            <w:r w:rsidRPr="009A27E5">
              <w:rPr>
                <w:rFonts w:ascii="Arial" w:hAnsi="Arial" w:cs="Arial"/>
                <w:b/>
                <w:bCs/>
                <w:sz w:val="24"/>
              </w:rPr>
              <w:t xml:space="preserve">by </w:t>
            </w:r>
            <w:r w:rsidR="00C04CE0" w:rsidRPr="009A27E5">
              <w:rPr>
                <w:rFonts w:ascii="Arial" w:hAnsi="Arial" w:cs="Arial"/>
                <w:b/>
                <w:bCs/>
                <w:sz w:val="24"/>
              </w:rPr>
              <w:t>the following competent person</w:t>
            </w:r>
            <w:r w:rsidR="00E078E9" w:rsidRPr="009A27E5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291F6A" w:rsidRPr="00170E00" w:rsidRDefault="00291F6A" w:rsidP="005F4214">
            <w:pPr>
              <w:rPr>
                <w:rFonts w:ascii="Arial" w:hAnsi="Arial" w:cs="Arial"/>
                <w:b/>
                <w:bCs/>
              </w:rPr>
            </w:pPr>
          </w:p>
          <w:p w:rsidR="0050701F" w:rsidRPr="00170E00" w:rsidRDefault="0050701F" w:rsidP="005F4214">
            <w:pPr>
              <w:rPr>
                <w:rFonts w:ascii="Arial" w:hAnsi="Arial" w:cs="Arial"/>
                <w:b/>
                <w:bCs/>
              </w:rPr>
            </w:pPr>
            <w:r w:rsidRPr="00170E00">
              <w:rPr>
                <w:rFonts w:ascii="Arial" w:hAnsi="Arial" w:cs="Arial"/>
                <w:b/>
                <w:bCs/>
              </w:rPr>
              <w:t>Tas</w:t>
            </w:r>
            <w:r w:rsidR="00020642">
              <w:rPr>
                <w:rFonts w:ascii="Arial" w:hAnsi="Arial" w:cs="Arial"/>
                <w:b/>
                <w:bCs/>
              </w:rPr>
              <w:t>ks and control measures reviewed</w:t>
            </w:r>
            <w:r w:rsidRPr="00170E00">
              <w:rPr>
                <w:rFonts w:ascii="Arial" w:hAnsi="Arial" w:cs="Arial"/>
                <w:b/>
                <w:bCs/>
              </w:rPr>
              <w:t xml:space="preserve"> by</w:t>
            </w:r>
            <w:r w:rsidR="00291F6A" w:rsidRPr="00170E00">
              <w:rPr>
                <w:rFonts w:ascii="Arial" w:hAnsi="Arial" w:cs="Arial"/>
                <w:b/>
                <w:bCs/>
              </w:rPr>
              <w:t xml:space="preserve"> </w:t>
            </w:r>
            <w:r w:rsidR="00E078E9">
              <w:rPr>
                <w:rFonts w:ascii="Arial" w:hAnsi="Arial" w:cs="Arial"/>
                <w:b/>
                <w:bCs/>
              </w:rPr>
              <w:t>the Governing Body</w:t>
            </w:r>
            <w:r w:rsidR="00233FAC" w:rsidRPr="00170E00">
              <w:rPr>
                <w:rFonts w:ascii="Arial" w:hAnsi="Arial" w:cs="Arial"/>
                <w:b/>
                <w:bCs/>
              </w:rPr>
              <w:t>:</w:t>
            </w:r>
          </w:p>
          <w:p w:rsidR="00C04CE0" w:rsidRPr="00170E00" w:rsidRDefault="00C04CE0" w:rsidP="005F4214">
            <w:pPr>
              <w:rPr>
                <w:rFonts w:ascii="Arial" w:hAnsi="Arial" w:cs="Arial"/>
                <w:b/>
                <w:bCs/>
              </w:rPr>
            </w:pPr>
          </w:p>
          <w:p w:rsidR="0050701F" w:rsidRPr="00170E00" w:rsidRDefault="0050701F" w:rsidP="005F42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701F" w:rsidRPr="00170E00" w:rsidTr="00233FAC">
        <w:trPr>
          <w:trHeight w:val="340"/>
        </w:trPr>
        <w:tc>
          <w:tcPr>
            <w:tcW w:w="1984" w:type="dxa"/>
            <w:vAlign w:val="center"/>
          </w:tcPr>
          <w:p w:rsidR="0050701F" w:rsidRPr="009A27E5" w:rsidRDefault="0050701F" w:rsidP="005F4214">
            <w:pPr>
              <w:rPr>
                <w:rFonts w:ascii="Arial" w:hAnsi="Arial" w:cs="Arial"/>
                <w:bCs/>
                <w:sz w:val="24"/>
              </w:rPr>
            </w:pPr>
            <w:r w:rsidRPr="009A27E5">
              <w:rPr>
                <w:rFonts w:ascii="Arial" w:hAnsi="Arial" w:cs="Arial"/>
                <w:bCs/>
                <w:sz w:val="24"/>
              </w:rPr>
              <w:t>Name</w:t>
            </w:r>
          </w:p>
          <w:p w:rsidR="0050701F" w:rsidRPr="009A27E5" w:rsidRDefault="00233FAC" w:rsidP="005F4214">
            <w:pPr>
              <w:rPr>
                <w:rFonts w:ascii="Arial" w:hAnsi="Arial" w:cs="Arial"/>
                <w:bCs/>
                <w:sz w:val="24"/>
              </w:rPr>
            </w:pPr>
            <w:r w:rsidRPr="009A27E5">
              <w:rPr>
                <w:rFonts w:ascii="Arial" w:hAnsi="Arial" w:cs="Arial"/>
                <w:bCs/>
                <w:sz w:val="24"/>
              </w:rPr>
              <w:t>(PRINT</w:t>
            </w:r>
            <w:r w:rsidR="0050701F" w:rsidRPr="009A27E5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50701F" w:rsidRPr="009A27E5" w:rsidRDefault="0050701F" w:rsidP="005F4214">
            <w:pPr>
              <w:rPr>
                <w:rFonts w:ascii="Arial" w:hAnsi="Arial" w:cs="Arial"/>
                <w:bCs/>
                <w:sz w:val="24"/>
              </w:rPr>
            </w:pPr>
          </w:p>
          <w:p w:rsidR="00233FAC" w:rsidRPr="009A27E5" w:rsidRDefault="00233FAC" w:rsidP="005F4214">
            <w:pPr>
              <w:rPr>
                <w:rFonts w:ascii="Arial" w:hAnsi="Arial" w:cs="Arial"/>
                <w:bCs/>
                <w:sz w:val="24"/>
              </w:rPr>
            </w:pPr>
          </w:p>
          <w:p w:rsidR="00233FAC" w:rsidRPr="009A27E5" w:rsidRDefault="00233FAC" w:rsidP="005F4214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513" w:type="dxa"/>
            <w:vAlign w:val="center"/>
          </w:tcPr>
          <w:p w:rsidR="0050701F" w:rsidRPr="00170E00" w:rsidRDefault="00233FAC" w:rsidP="005F4214">
            <w:pPr>
              <w:rPr>
                <w:rFonts w:ascii="Arial" w:hAnsi="Arial" w:cs="Arial"/>
                <w:bCs/>
              </w:rPr>
            </w:pPr>
            <w:r w:rsidRPr="00170E00">
              <w:rPr>
                <w:rFonts w:ascii="Arial" w:hAnsi="Arial" w:cs="Arial"/>
                <w:bCs/>
              </w:rPr>
              <w:t>Name (PRINT):</w:t>
            </w:r>
          </w:p>
        </w:tc>
      </w:tr>
      <w:tr w:rsidR="0050701F" w:rsidRPr="00170E00" w:rsidTr="00233FAC">
        <w:trPr>
          <w:trHeight w:val="882"/>
        </w:trPr>
        <w:tc>
          <w:tcPr>
            <w:tcW w:w="1984" w:type="dxa"/>
            <w:vAlign w:val="center"/>
          </w:tcPr>
          <w:p w:rsidR="0050701F" w:rsidRPr="009A27E5" w:rsidRDefault="0050701F" w:rsidP="005F4214">
            <w:pPr>
              <w:rPr>
                <w:rFonts w:ascii="Arial" w:hAnsi="Arial" w:cs="Arial"/>
                <w:bCs/>
                <w:sz w:val="24"/>
              </w:rPr>
            </w:pPr>
            <w:r w:rsidRPr="009A27E5">
              <w:rPr>
                <w:rFonts w:ascii="Arial" w:hAnsi="Arial"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:rsidR="0050701F" w:rsidRPr="009A27E5" w:rsidRDefault="0050701F" w:rsidP="005F42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275288" w:rsidRDefault="00233FAC" w:rsidP="00275288">
            <w:pPr>
              <w:rPr>
                <w:rFonts w:ascii="Arial" w:hAnsi="Arial" w:cs="Arial"/>
                <w:bCs/>
              </w:rPr>
            </w:pPr>
            <w:r w:rsidRPr="00170E00">
              <w:rPr>
                <w:rFonts w:ascii="Arial" w:hAnsi="Arial" w:cs="Arial"/>
                <w:bCs/>
              </w:rPr>
              <w:t>Signature:</w:t>
            </w:r>
          </w:p>
          <w:p w:rsidR="00275288" w:rsidRDefault="00275288" w:rsidP="00275288">
            <w:pPr>
              <w:rPr>
                <w:rFonts w:ascii="Arial" w:hAnsi="Arial" w:cs="Arial"/>
                <w:bCs/>
              </w:rPr>
            </w:pPr>
          </w:p>
          <w:p w:rsidR="00275288" w:rsidRDefault="00275288" w:rsidP="00275288">
            <w:pPr>
              <w:rPr>
                <w:rFonts w:ascii="Arial" w:hAnsi="Arial" w:cs="Arial"/>
                <w:bCs/>
              </w:rPr>
            </w:pPr>
          </w:p>
          <w:p w:rsidR="0050701F" w:rsidRDefault="00233FAC" w:rsidP="00275288">
            <w:pPr>
              <w:rPr>
                <w:rFonts w:ascii="Arial" w:hAnsi="Arial" w:cs="Arial"/>
                <w:bCs/>
              </w:rPr>
            </w:pPr>
            <w:r w:rsidRPr="00170E00">
              <w:rPr>
                <w:rFonts w:ascii="Arial" w:hAnsi="Arial" w:cs="Arial"/>
                <w:bCs/>
              </w:rPr>
              <w:t>Date:</w:t>
            </w:r>
          </w:p>
          <w:p w:rsidR="00275288" w:rsidRPr="00170E00" w:rsidRDefault="00275288" w:rsidP="00275288">
            <w:pPr>
              <w:rPr>
                <w:rFonts w:ascii="Arial" w:hAnsi="Arial" w:cs="Arial"/>
                <w:bCs/>
              </w:rPr>
            </w:pPr>
          </w:p>
        </w:tc>
      </w:tr>
      <w:tr w:rsidR="0050701F" w:rsidRPr="00170E00" w:rsidTr="00233FAC">
        <w:trPr>
          <w:trHeight w:val="882"/>
        </w:trPr>
        <w:tc>
          <w:tcPr>
            <w:tcW w:w="1984" w:type="dxa"/>
            <w:vAlign w:val="center"/>
          </w:tcPr>
          <w:p w:rsidR="00275288" w:rsidRPr="009A27E5" w:rsidRDefault="00291F6A" w:rsidP="00275288">
            <w:pPr>
              <w:rPr>
                <w:rFonts w:ascii="Arial" w:hAnsi="Arial" w:cs="Arial"/>
                <w:sz w:val="24"/>
              </w:rPr>
            </w:pPr>
            <w:r w:rsidRPr="009A27E5">
              <w:rPr>
                <w:rFonts w:ascii="Arial" w:hAnsi="Arial" w:cs="Arial"/>
                <w:bCs/>
                <w:sz w:val="24"/>
              </w:rPr>
              <w:t>N</w:t>
            </w:r>
            <w:r w:rsidR="0050701F" w:rsidRPr="009A27E5">
              <w:rPr>
                <w:rFonts w:ascii="Arial" w:hAnsi="Arial" w:cs="Arial"/>
                <w:bCs/>
                <w:sz w:val="24"/>
              </w:rPr>
              <w:t>ext Review Date</w:t>
            </w:r>
            <w:r w:rsidR="00C04CE0" w:rsidRPr="009A27E5">
              <w:rPr>
                <w:rFonts w:ascii="Arial" w:hAnsi="Arial" w:cs="Arial"/>
                <w:bCs/>
                <w:sz w:val="24"/>
              </w:rPr>
              <w:t>:</w:t>
            </w:r>
          </w:p>
          <w:p w:rsidR="0050701F" w:rsidRPr="009A27E5" w:rsidRDefault="0050701F" w:rsidP="009A27E5">
            <w:pPr>
              <w:rPr>
                <w:rFonts w:ascii="Arial" w:hAnsi="Arial" w:cs="Arial"/>
                <w:sz w:val="24"/>
              </w:rPr>
            </w:pPr>
            <w:r w:rsidRPr="009A27E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3892" w:type="dxa"/>
            <w:gridSpan w:val="2"/>
          </w:tcPr>
          <w:p w:rsidR="0050701F" w:rsidRPr="009A27E5" w:rsidRDefault="0050701F" w:rsidP="005F4214">
            <w:pPr>
              <w:rPr>
                <w:rFonts w:ascii="Arial" w:hAnsi="Arial" w:cs="Arial"/>
                <w:sz w:val="24"/>
              </w:rPr>
            </w:pPr>
            <w:r w:rsidRPr="009A27E5">
              <w:rPr>
                <w:rFonts w:ascii="Arial" w:hAnsi="Arial"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:rsidR="0050701F" w:rsidRPr="009A27E5" w:rsidRDefault="0050701F" w:rsidP="005F4214">
            <w:pPr>
              <w:rPr>
                <w:rFonts w:ascii="Arial" w:hAnsi="Arial" w:cs="Arial"/>
                <w:sz w:val="24"/>
              </w:rPr>
            </w:pPr>
            <w:r w:rsidRPr="009A27E5">
              <w:rPr>
                <w:rFonts w:ascii="Arial" w:hAnsi="Arial" w:cs="Arial"/>
                <w:sz w:val="24"/>
              </w:rPr>
              <w:t>You should review your risk assessment:</w:t>
            </w:r>
          </w:p>
          <w:p w:rsidR="00C04CE0" w:rsidRPr="009A27E5" w:rsidRDefault="00C04CE0" w:rsidP="005F4214">
            <w:pPr>
              <w:rPr>
                <w:rFonts w:ascii="Arial" w:hAnsi="Arial" w:cs="Arial"/>
                <w:sz w:val="24"/>
              </w:rPr>
            </w:pPr>
          </w:p>
          <w:p w:rsidR="0050701F" w:rsidRPr="009A27E5" w:rsidRDefault="0050701F" w:rsidP="005070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9A27E5">
              <w:rPr>
                <w:rFonts w:ascii="Arial" w:hAnsi="Arial" w:cs="Arial"/>
                <w:sz w:val="24"/>
                <w:szCs w:val="20"/>
              </w:rPr>
              <w:t>if it is no longer valid</w:t>
            </w:r>
          </w:p>
          <w:p w:rsidR="0050701F" w:rsidRPr="009A27E5" w:rsidRDefault="0050701F" w:rsidP="005F42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9A27E5">
              <w:rPr>
                <w:rFonts w:ascii="Arial" w:hAnsi="Arial" w:cs="Arial"/>
                <w:sz w:val="24"/>
                <w:szCs w:val="20"/>
              </w:rPr>
              <w:t>if there has been a significant change</w:t>
            </w:r>
          </w:p>
        </w:tc>
      </w:tr>
    </w:tbl>
    <w:p w:rsidR="0050701F" w:rsidRPr="00233FAC" w:rsidRDefault="0050701F" w:rsidP="00233FAC">
      <w:pPr>
        <w:tabs>
          <w:tab w:val="left" w:pos="7240"/>
        </w:tabs>
        <w:rPr>
          <w:rFonts w:ascii="Arial" w:hAnsi="Arial" w:cs="Arial"/>
        </w:rPr>
      </w:pPr>
      <w:bookmarkStart w:id="0" w:name="_GoBack"/>
      <w:bookmarkEnd w:id="0"/>
    </w:p>
    <w:sectPr w:rsidR="0050701F" w:rsidRPr="00233FAC" w:rsidSect="0098328F">
      <w:pgSz w:w="16838" w:h="11906" w:orient="landscape" w:code="9"/>
      <w:pgMar w:top="567" w:right="907" w:bottom="567" w:left="170" w:header="510" w:footer="2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E7" w:rsidRDefault="001102E7" w:rsidP="00AF3D62">
      <w:pPr>
        <w:pStyle w:val="Footer"/>
      </w:pPr>
      <w:r>
        <w:separator/>
      </w:r>
    </w:p>
  </w:endnote>
  <w:endnote w:type="continuationSeparator" w:id="0">
    <w:p w:rsidR="001102E7" w:rsidRDefault="001102E7" w:rsidP="00AF3D62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5D" w:rsidRPr="00520617" w:rsidRDefault="0034155D" w:rsidP="0000003B">
    <w:pPr>
      <w:pStyle w:val="Footer"/>
      <w:tabs>
        <w:tab w:val="clear" w:pos="4153"/>
        <w:tab w:val="clear" w:pos="8306"/>
        <w:tab w:val="left" w:pos="2432"/>
      </w:tabs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="749" w:tblpY="102"/>
      <w:tblW w:w="48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6"/>
      <w:gridCol w:w="1324"/>
      <w:gridCol w:w="1330"/>
      <w:gridCol w:w="1738"/>
      <w:gridCol w:w="1384"/>
      <w:gridCol w:w="1263"/>
      <w:gridCol w:w="398"/>
      <w:gridCol w:w="305"/>
      <w:gridCol w:w="354"/>
      <w:gridCol w:w="394"/>
      <w:gridCol w:w="394"/>
      <w:gridCol w:w="394"/>
      <w:gridCol w:w="394"/>
      <w:gridCol w:w="451"/>
      <w:gridCol w:w="3615"/>
    </w:tblGrid>
    <w:tr w:rsidR="0098328F" w:rsidRPr="00240229" w:rsidTr="00AC2797">
      <w:trPr>
        <w:trHeight w:val="161"/>
      </w:trPr>
      <w:tc>
        <w:tcPr>
          <w:tcW w:w="335" w:type="pct"/>
          <w:vMerge w:val="restar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Hazardous Event</w:t>
          </w:r>
        </w:p>
      </w:tc>
      <w:tc>
        <w:tcPr>
          <w:tcW w:w="45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1</w:t>
          </w:r>
        </w:p>
      </w:tc>
      <w:tc>
        <w:tcPr>
          <w:tcW w:w="453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2</w:t>
          </w:r>
        </w:p>
      </w:tc>
      <w:tc>
        <w:tcPr>
          <w:tcW w:w="59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3</w:t>
          </w:r>
        </w:p>
      </w:tc>
      <w:tc>
        <w:tcPr>
          <w:tcW w:w="47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4</w:t>
          </w:r>
        </w:p>
      </w:tc>
      <w:tc>
        <w:tcPr>
          <w:tcW w:w="430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5</w:t>
          </w:r>
        </w:p>
      </w:tc>
      <w:tc>
        <w:tcPr>
          <w:tcW w:w="137" w:type="pct"/>
          <w:vMerge w:val="restart"/>
          <w:tcBorders>
            <w:top w:val="nil"/>
          </w:tcBorders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100" w:type="pc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12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1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2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3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4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5</w:t>
          </w:r>
        </w:p>
      </w:tc>
      <w:tc>
        <w:tcPr>
          <w:tcW w:w="155" w:type="pct"/>
          <w:vMerge w:val="restart"/>
          <w:tcBorders>
            <w:top w:val="nil"/>
          </w:tcBorders>
        </w:tcPr>
        <w:p w:rsidR="0098328F" w:rsidRPr="00067630" w:rsidRDefault="0098328F" w:rsidP="0098328F">
          <w:pPr>
            <w:pStyle w:val="Footer"/>
            <w:rPr>
              <w:rFonts w:ascii="Arial" w:hAnsi="Arial" w:cs="Arial"/>
            </w:rPr>
          </w:pPr>
        </w:p>
      </w:tc>
      <w:tc>
        <w:tcPr>
          <w:tcW w:w="1227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Risk Rating</w:t>
          </w:r>
        </w:p>
      </w:tc>
    </w:tr>
    <w:tr w:rsidR="0098328F" w:rsidRPr="00240229" w:rsidTr="00AC2797">
      <w:trPr>
        <w:trHeight w:val="336"/>
      </w:trPr>
      <w:tc>
        <w:tcPr>
          <w:tcW w:w="335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451" w:type="pct"/>
          <w:vMerge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53" w:type="pct"/>
          <w:vMerge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91" w:type="pct"/>
          <w:vMerge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71" w:type="pct"/>
          <w:vMerge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30" w:type="pct"/>
          <w:vMerge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37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100" w:type="pc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1</w:t>
          </w:r>
        </w:p>
      </w:tc>
      <w:tc>
        <w:tcPr>
          <w:tcW w:w="12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1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2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3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4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5</w:t>
          </w:r>
        </w:p>
      </w:tc>
      <w:tc>
        <w:tcPr>
          <w:tcW w:w="155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</w:rPr>
          </w:pPr>
        </w:p>
      </w:tc>
      <w:tc>
        <w:tcPr>
          <w:tcW w:w="1227" w:type="pc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 xml:space="preserve">Low </w:t>
          </w:r>
          <w:r w:rsidRPr="00067630">
            <w:rPr>
              <w:rFonts w:ascii="Arial" w:hAnsi="Arial" w:cs="Arial"/>
              <w:sz w:val="16"/>
            </w:rPr>
            <w:t>– monitor the situation</w:t>
          </w:r>
        </w:p>
      </w:tc>
    </w:tr>
    <w:tr w:rsidR="0098328F" w:rsidRPr="00240229" w:rsidTr="00AC2797">
      <w:trPr>
        <w:trHeight w:val="172"/>
      </w:trPr>
      <w:tc>
        <w:tcPr>
          <w:tcW w:w="335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Likelihood (L)</w:t>
          </w:r>
        </w:p>
      </w:tc>
      <w:tc>
        <w:tcPr>
          <w:tcW w:w="45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Very unlikely</w:t>
          </w:r>
        </w:p>
      </w:tc>
      <w:tc>
        <w:tcPr>
          <w:tcW w:w="453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Unlikely</w:t>
          </w:r>
        </w:p>
      </w:tc>
      <w:tc>
        <w:tcPr>
          <w:tcW w:w="59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Possible</w:t>
          </w:r>
        </w:p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(Heard of it happening)</w:t>
          </w:r>
        </w:p>
      </w:tc>
      <w:tc>
        <w:tcPr>
          <w:tcW w:w="471" w:type="pct"/>
          <w:vMerge w:val="restart"/>
          <w:vAlign w:val="center"/>
        </w:tcPr>
        <w:p w:rsidR="0098328F" w:rsidRPr="00067630" w:rsidRDefault="0098328F" w:rsidP="00275288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Likely</w:t>
          </w:r>
        </w:p>
      </w:tc>
      <w:tc>
        <w:tcPr>
          <w:tcW w:w="430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Very Likely</w:t>
          </w:r>
        </w:p>
      </w:tc>
      <w:tc>
        <w:tcPr>
          <w:tcW w:w="137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100" w:type="pc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2</w:t>
          </w:r>
        </w:p>
      </w:tc>
      <w:tc>
        <w:tcPr>
          <w:tcW w:w="12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2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4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6</w:t>
          </w:r>
        </w:p>
      </w:tc>
      <w:tc>
        <w:tcPr>
          <w:tcW w:w="132" w:type="pct"/>
          <w:shd w:val="clear" w:color="auto" w:fill="B4C6E7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FFFFFF"/>
              <w:sz w:val="16"/>
            </w:rPr>
            <w:t>8</w:t>
          </w:r>
        </w:p>
      </w:tc>
      <w:tc>
        <w:tcPr>
          <w:tcW w:w="132" w:type="pct"/>
          <w:shd w:val="clear" w:color="auto" w:fill="B4C6E7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FFFFFF"/>
              <w:sz w:val="16"/>
            </w:rPr>
            <w:t>10</w:t>
          </w:r>
        </w:p>
      </w:tc>
      <w:tc>
        <w:tcPr>
          <w:tcW w:w="155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</w:rPr>
          </w:pPr>
        </w:p>
      </w:tc>
      <w:tc>
        <w:tcPr>
          <w:tcW w:w="1227" w:type="pct"/>
          <w:vMerge w:val="restart"/>
          <w:shd w:val="clear" w:color="auto" w:fill="B4C6E7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000000"/>
              <w:sz w:val="16"/>
            </w:rPr>
            <w:t xml:space="preserve">Medium </w:t>
          </w:r>
          <w:r w:rsidRPr="00067630">
            <w:rPr>
              <w:rFonts w:ascii="Arial" w:hAnsi="Arial" w:cs="Arial"/>
              <w:color w:val="000000"/>
              <w:sz w:val="16"/>
            </w:rPr>
            <w:t>– identify improvements, draw up action plan and monitor</w:t>
          </w:r>
        </w:p>
      </w:tc>
    </w:tr>
    <w:tr w:rsidR="0098328F" w:rsidRPr="00240229" w:rsidTr="00AC2797">
      <w:trPr>
        <w:trHeight w:val="172"/>
      </w:trPr>
      <w:tc>
        <w:tcPr>
          <w:tcW w:w="335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451" w:type="pct"/>
          <w:vMerge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53" w:type="pct"/>
          <w:vMerge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91" w:type="pct"/>
          <w:vMerge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71" w:type="pct"/>
          <w:vMerge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30" w:type="pct"/>
          <w:vMerge/>
          <w:vAlign w:val="center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37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100" w:type="pc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3</w:t>
          </w:r>
        </w:p>
      </w:tc>
      <w:tc>
        <w:tcPr>
          <w:tcW w:w="12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3</w:t>
          </w:r>
        </w:p>
      </w:tc>
      <w:tc>
        <w:tcPr>
          <w:tcW w:w="13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6</w:t>
          </w:r>
        </w:p>
      </w:tc>
      <w:tc>
        <w:tcPr>
          <w:tcW w:w="132" w:type="pct"/>
          <w:shd w:val="clear" w:color="auto" w:fill="B4C6E7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FFFFFF"/>
              <w:sz w:val="16"/>
            </w:rPr>
            <w:t>9</w:t>
          </w:r>
        </w:p>
      </w:tc>
      <w:tc>
        <w:tcPr>
          <w:tcW w:w="132" w:type="pct"/>
          <w:shd w:val="clear" w:color="auto" w:fill="B4C6E7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FFFFFF"/>
              <w:sz w:val="16"/>
            </w:rPr>
            <w:t>12</w:t>
          </w:r>
        </w:p>
      </w:tc>
      <w:tc>
        <w:tcPr>
          <w:tcW w:w="132" w:type="pct"/>
          <w:shd w:val="clear" w:color="auto" w:fill="F7CAAC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15</w:t>
          </w:r>
        </w:p>
      </w:tc>
      <w:tc>
        <w:tcPr>
          <w:tcW w:w="155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</w:rPr>
          </w:pPr>
        </w:p>
      </w:tc>
      <w:tc>
        <w:tcPr>
          <w:tcW w:w="1227" w:type="pct"/>
          <w:vMerge/>
          <w:tcBorders>
            <w:bottom w:val="single" w:sz="4" w:space="0" w:color="auto"/>
          </w:tcBorders>
          <w:shd w:val="clear" w:color="auto" w:fill="B4C6E7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</w:tr>
    <w:tr w:rsidR="0098328F" w:rsidRPr="00240229" w:rsidTr="00AC2797">
      <w:trPr>
        <w:trHeight w:val="161"/>
      </w:trPr>
      <w:tc>
        <w:tcPr>
          <w:tcW w:w="335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Severity (S)</w:t>
          </w:r>
        </w:p>
      </w:tc>
      <w:tc>
        <w:tcPr>
          <w:tcW w:w="45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None or trivial injury / illness or 1 person at risk</w:t>
          </w:r>
        </w:p>
      </w:tc>
      <w:tc>
        <w:tcPr>
          <w:tcW w:w="453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Minor injury or illness / Only minor first aid required or up to 5 persons at risk</w:t>
          </w:r>
        </w:p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8"/>
            </w:rPr>
          </w:pPr>
        </w:p>
      </w:tc>
      <w:tc>
        <w:tcPr>
          <w:tcW w:w="59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067630">
            <w:rPr>
              <w:rFonts w:ascii="Arial" w:hAnsi="Arial" w:cs="Arial"/>
              <w:sz w:val="16"/>
              <w:szCs w:val="16"/>
            </w:rPr>
            <w:t>Injury or illness that could result in lost time or up to 10 persons at risk</w:t>
          </w:r>
        </w:p>
      </w:tc>
      <w:tc>
        <w:tcPr>
          <w:tcW w:w="471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Specified major injury / severe incapacity, fractures, loss of consciousness or up to 25 persons at risk</w:t>
          </w:r>
        </w:p>
      </w:tc>
      <w:tc>
        <w:tcPr>
          <w:tcW w:w="430" w:type="pct"/>
          <w:vMerge w:val="restart"/>
          <w:vAlign w:val="center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Fatality / widespread loss – 25 or more persons involved</w:t>
          </w:r>
        </w:p>
      </w:tc>
      <w:tc>
        <w:tcPr>
          <w:tcW w:w="137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</w:p>
      </w:tc>
      <w:tc>
        <w:tcPr>
          <w:tcW w:w="100" w:type="pct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4</w:t>
          </w:r>
        </w:p>
      </w:tc>
      <w:tc>
        <w:tcPr>
          <w:tcW w:w="122" w:type="pct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sz w:val="16"/>
            </w:rPr>
            <w:t>4</w:t>
          </w:r>
        </w:p>
      </w:tc>
      <w:tc>
        <w:tcPr>
          <w:tcW w:w="132" w:type="pct"/>
          <w:shd w:val="clear" w:color="auto" w:fill="B4C6E7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FFFFFF"/>
              <w:sz w:val="16"/>
            </w:rPr>
            <w:t>8</w:t>
          </w:r>
        </w:p>
      </w:tc>
      <w:tc>
        <w:tcPr>
          <w:tcW w:w="132" w:type="pct"/>
          <w:shd w:val="clear" w:color="auto" w:fill="B4C6E7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067630">
            <w:rPr>
              <w:rFonts w:ascii="Arial" w:hAnsi="Arial" w:cs="Arial"/>
              <w:b/>
              <w:color w:val="FFFFFF"/>
              <w:sz w:val="16"/>
            </w:rPr>
            <w:t>12</w:t>
          </w:r>
        </w:p>
      </w:tc>
      <w:tc>
        <w:tcPr>
          <w:tcW w:w="132" w:type="pct"/>
          <w:shd w:val="clear" w:color="auto" w:fill="F7CAAC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16</w:t>
          </w:r>
        </w:p>
      </w:tc>
      <w:tc>
        <w:tcPr>
          <w:tcW w:w="132" w:type="pct"/>
          <w:shd w:val="clear" w:color="auto" w:fill="F7CAAC"/>
        </w:tcPr>
        <w:p w:rsidR="0098328F" w:rsidRPr="00067630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20</w:t>
          </w:r>
        </w:p>
      </w:tc>
      <w:tc>
        <w:tcPr>
          <w:tcW w:w="155" w:type="pct"/>
          <w:vMerge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</w:rPr>
          </w:pPr>
        </w:p>
      </w:tc>
      <w:tc>
        <w:tcPr>
          <w:tcW w:w="1227" w:type="pct"/>
          <w:vMerge w:val="restart"/>
          <w:shd w:val="clear" w:color="auto" w:fill="F7CAAC"/>
        </w:tcPr>
        <w:p w:rsidR="0098328F" w:rsidRPr="00067630" w:rsidRDefault="0098328F" w:rsidP="0098328F">
          <w:pPr>
            <w:pStyle w:val="Footer"/>
            <w:rPr>
              <w:rFonts w:ascii="Arial" w:hAnsi="Arial" w:cs="Arial"/>
              <w:sz w:val="16"/>
            </w:rPr>
          </w:pPr>
          <w:r w:rsidRPr="00067630">
            <w:rPr>
              <w:rFonts w:ascii="Arial" w:hAnsi="Arial" w:cs="Arial"/>
              <w:b/>
              <w:sz w:val="16"/>
            </w:rPr>
            <w:t>High</w:t>
          </w:r>
          <w:r w:rsidRPr="00067630">
            <w:rPr>
              <w:rFonts w:ascii="Arial" w:hAnsi="Arial" w:cs="Arial"/>
              <w:sz w:val="16"/>
            </w:rPr>
            <w:t xml:space="preserve"> – urgent action required to reduce exposure and re-access</w:t>
          </w:r>
        </w:p>
      </w:tc>
    </w:tr>
    <w:tr w:rsidR="0098328F" w:rsidTr="00AC2797">
      <w:trPr>
        <w:trHeight w:val="1008"/>
      </w:trPr>
      <w:tc>
        <w:tcPr>
          <w:tcW w:w="335" w:type="pct"/>
          <w:vMerge/>
        </w:tcPr>
        <w:p w:rsidR="0098328F" w:rsidRPr="00240229" w:rsidRDefault="0098328F" w:rsidP="0098328F">
          <w:pPr>
            <w:pStyle w:val="Footer"/>
            <w:rPr>
              <w:sz w:val="16"/>
            </w:rPr>
          </w:pPr>
        </w:p>
      </w:tc>
      <w:tc>
        <w:tcPr>
          <w:tcW w:w="451" w:type="pct"/>
          <w:vMerge/>
        </w:tcPr>
        <w:p w:rsidR="0098328F" w:rsidRPr="00240229" w:rsidRDefault="0098328F" w:rsidP="0098328F">
          <w:pPr>
            <w:pStyle w:val="Footer"/>
            <w:jc w:val="center"/>
            <w:rPr>
              <w:sz w:val="16"/>
            </w:rPr>
          </w:pPr>
        </w:p>
      </w:tc>
      <w:tc>
        <w:tcPr>
          <w:tcW w:w="453" w:type="pct"/>
          <w:vMerge/>
        </w:tcPr>
        <w:p w:rsidR="0098328F" w:rsidRPr="00240229" w:rsidRDefault="0098328F" w:rsidP="0098328F">
          <w:pPr>
            <w:pStyle w:val="Footer"/>
            <w:jc w:val="center"/>
            <w:rPr>
              <w:sz w:val="16"/>
            </w:rPr>
          </w:pPr>
        </w:p>
      </w:tc>
      <w:tc>
        <w:tcPr>
          <w:tcW w:w="591" w:type="pct"/>
          <w:vMerge/>
        </w:tcPr>
        <w:p w:rsidR="0098328F" w:rsidRPr="00240229" w:rsidRDefault="0098328F" w:rsidP="0098328F">
          <w:pPr>
            <w:pStyle w:val="Footer"/>
            <w:jc w:val="center"/>
            <w:rPr>
              <w:sz w:val="16"/>
            </w:rPr>
          </w:pPr>
        </w:p>
      </w:tc>
      <w:tc>
        <w:tcPr>
          <w:tcW w:w="471" w:type="pct"/>
          <w:vMerge/>
        </w:tcPr>
        <w:p w:rsidR="0098328F" w:rsidRPr="00240229" w:rsidRDefault="0098328F" w:rsidP="0098328F">
          <w:pPr>
            <w:pStyle w:val="Footer"/>
            <w:jc w:val="center"/>
            <w:rPr>
              <w:sz w:val="16"/>
            </w:rPr>
          </w:pPr>
        </w:p>
      </w:tc>
      <w:tc>
        <w:tcPr>
          <w:tcW w:w="430" w:type="pct"/>
          <w:vMerge/>
        </w:tcPr>
        <w:p w:rsidR="0098328F" w:rsidRPr="00240229" w:rsidRDefault="0098328F" w:rsidP="0098328F">
          <w:pPr>
            <w:pStyle w:val="Footer"/>
            <w:jc w:val="center"/>
            <w:rPr>
              <w:sz w:val="16"/>
            </w:rPr>
          </w:pPr>
        </w:p>
      </w:tc>
      <w:tc>
        <w:tcPr>
          <w:tcW w:w="137" w:type="pct"/>
          <w:vMerge/>
          <w:tcBorders>
            <w:bottom w:val="nil"/>
          </w:tcBorders>
        </w:tcPr>
        <w:p w:rsidR="0098328F" w:rsidRPr="00240229" w:rsidRDefault="0098328F" w:rsidP="0098328F">
          <w:pPr>
            <w:pStyle w:val="Footer"/>
            <w:rPr>
              <w:sz w:val="16"/>
            </w:rPr>
          </w:pPr>
        </w:p>
      </w:tc>
      <w:tc>
        <w:tcPr>
          <w:tcW w:w="100" w:type="pct"/>
        </w:tcPr>
        <w:p w:rsidR="0098328F" w:rsidRPr="008971F3" w:rsidRDefault="0098328F" w:rsidP="0098328F">
          <w:pPr>
            <w:pStyle w:val="Footer"/>
            <w:rPr>
              <w:rFonts w:ascii="Arial" w:hAnsi="Arial" w:cs="Arial"/>
              <w:b/>
              <w:sz w:val="16"/>
            </w:rPr>
          </w:pPr>
          <w:r w:rsidRPr="008971F3">
            <w:rPr>
              <w:rFonts w:ascii="Arial" w:hAnsi="Arial" w:cs="Arial"/>
              <w:b/>
              <w:sz w:val="16"/>
            </w:rPr>
            <w:t>5</w:t>
          </w:r>
        </w:p>
      </w:tc>
      <w:tc>
        <w:tcPr>
          <w:tcW w:w="122" w:type="pct"/>
        </w:tcPr>
        <w:p w:rsidR="0098328F" w:rsidRPr="008971F3" w:rsidRDefault="0098328F" w:rsidP="0098328F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8971F3">
            <w:rPr>
              <w:rFonts w:ascii="Arial" w:hAnsi="Arial" w:cs="Arial"/>
              <w:sz w:val="16"/>
            </w:rPr>
            <w:t>5</w:t>
          </w:r>
        </w:p>
      </w:tc>
      <w:tc>
        <w:tcPr>
          <w:tcW w:w="132" w:type="pct"/>
          <w:shd w:val="clear" w:color="auto" w:fill="B4C6E7"/>
        </w:tcPr>
        <w:p w:rsidR="0098328F" w:rsidRPr="008971F3" w:rsidRDefault="0098328F" w:rsidP="0098328F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</w:rPr>
          </w:pPr>
          <w:r w:rsidRPr="008971F3">
            <w:rPr>
              <w:rFonts w:ascii="Arial" w:hAnsi="Arial" w:cs="Arial"/>
              <w:b/>
              <w:color w:val="FFFFFF"/>
              <w:sz w:val="16"/>
            </w:rPr>
            <w:t>10</w:t>
          </w:r>
        </w:p>
      </w:tc>
      <w:tc>
        <w:tcPr>
          <w:tcW w:w="132" w:type="pct"/>
          <w:shd w:val="clear" w:color="auto" w:fill="F7CAAC"/>
        </w:tcPr>
        <w:p w:rsidR="0098328F" w:rsidRPr="008971F3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8971F3">
            <w:rPr>
              <w:rFonts w:ascii="Arial" w:hAnsi="Arial" w:cs="Arial"/>
              <w:b/>
              <w:sz w:val="16"/>
            </w:rPr>
            <w:t>15</w:t>
          </w:r>
        </w:p>
      </w:tc>
      <w:tc>
        <w:tcPr>
          <w:tcW w:w="132" w:type="pct"/>
          <w:shd w:val="clear" w:color="auto" w:fill="F7CAAC"/>
        </w:tcPr>
        <w:p w:rsidR="0098328F" w:rsidRPr="008971F3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8971F3">
            <w:rPr>
              <w:rFonts w:ascii="Arial" w:hAnsi="Arial" w:cs="Arial"/>
              <w:b/>
              <w:sz w:val="16"/>
            </w:rPr>
            <w:t>20</w:t>
          </w:r>
        </w:p>
      </w:tc>
      <w:tc>
        <w:tcPr>
          <w:tcW w:w="132" w:type="pct"/>
          <w:shd w:val="clear" w:color="auto" w:fill="F7CAAC"/>
        </w:tcPr>
        <w:p w:rsidR="0098328F" w:rsidRPr="008971F3" w:rsidRDefault="0098328F" w:rsidP="0098328F">
          <w:pPr>
            <w:pStyle w:val="Footer"/>
            <w:jc w:val="center"/>
            <w:rPr>
              <w:rFonts w:ascii="Arial" w:hAnsi="Arial" w:cs="Arial"/>
              <w:b/>
              <w:sz w:val="16"/>
            </w:rPr>
          </w:pPr>
          <w:r w:rsidRPr="008971F3">
            <w:rPr>
              <w:rFonts w:ascii="Arial" w:hAnsi="Arial" w:cs="Arial"/>
              <w:b/>
              <w:sz w:val="16"/>
            </w:rPr>
            <w:t>25</w:t>
          </w:r>
        </w:p>
      </w:tc>
      <w:tc>
        <w:tcPr>
          <w:tcW w:w="155" w:type="pct"/>
          <w:vMerge/>
          <w:tcBorders>
            <w:bottom w:val="nil"/>
          </w:tcBorders>
        </w:tcPr>
        <w:p w:rsidR="0098328F" w:rsidRDefault="0098328F" w:rsidP="0098328F">
          <w:pPr>
            <w:pStyle w:val="Footer"/>
          </w:pPr>
        </w:p>
      </w:tc>
      <w:tc>
        <w:tcPr>
          <w:tcW w:w="1227" w:type="pct"/>
          <w:vMerge/>
          <w:shd w:val="clear" w:color="auto" w:fill="F7CAAC"/>
        </w:tcPr>
        <w:p w:rsidR="0098328F" w:rsidRDefault="0098328F" w:rsidP="0098328F">
          <w:pPr>
            <w:pStyle w:val="Footer"/>
          </w:pPr>
        </w:p>
      </w:tc>
    </w:tr>
  </w:tbl>
  <w:p w:rsidR="0098328F" w:rsidRDefault="0098328F" w:rsidP="009A2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E7" w:rsidRDefault="001102E7" w:rsidP="00AF3D62">
      <w:pPr>
        <w:pStyle w:val="Footer"/>
      </w:pPr>
      <w:r>
        <w:separator/>
      </w:r>
    </w:p>
  </w:footnote>
  <w:footnote w:type="continuationSeparator" w:id="0">
    <w:p w:rsidR="001102E7" w:rsidRDefault="001102E7" w:rsidP="00AF3D62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2C0" w:rsidRDefault="006672C0">
    <w:pPr>
      <w:pStyle w:val="Header"/>
    </w:pPr>
  </w:p>
  <w:p w:rsidR="00B77426" w:rsidRDefault="00960C16"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630" w:rsidRDefault="00067630" w:rsidP="00275288">
    <w:pPr>
      <w:pStyle w:val="Header"/>
      <w:tabs>
        <w:tab w:val="clear" w:pos="4153"/>
        <w:tab w:val="clear" w:pos="8306"/>
        <w:tab w:val="left" w:pos="1889"/>
        <w:tab w:val="left" w:pos="7390"/>
        <w:tab w:val="center" w:pos="7880"/>
      </w:tabs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noProof/>
        <w:sz w:val="24"/>
        <w:szCs w:val="24"/>
      </w:rPr>
      <w:drawing>
        <wp:inline distT="0" distB="0" distL="0" distR="0">
          <wp:extent cx="2419350" cy="767080"/>
          <wp:effectExtent l="0" t="0" r="0" b="0"/>
          <wp:docPr id="3" name="Picture 3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630" w:rsidRPr="00067630" w:rsidRDefault="00067630" w:rsidP="00067630">
    <w:pPr>
      <w:pStyle w:val="Header"/>
      <w:tabs>
        <w:tab w:val="clear" w:pos="4153"/>
        <w:tab w:val="clear" w:pos="8306"/>
        <w:tab w:val="left" w:pos="1889"/>
        <w:tab w:val="left" w:pos="7390"/>
        <w:tab w:val="center" w:pos="7880"/>
      </w:tabs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sz w:val="24"/>
        <w:szCs w:val="24"/>
      </w:rPr>
      <w:t>Risk Assessment Form</w:t>
    </w:r>
  </w:p>
  <w:p w:rsidR="00067630" w:rsidRPr="00067630" w:rsidRDefault="00067630" w:rsidP="00067630">
    <w:pPr>
      <w:pStyle w:val="Header"/>
      <w:jc w:val="center"/>
      <w:rPr>
        <w:rFonts w:ascii="Arial" w:hAnsi="Arial" w:cs="Arial"/>
        <w:sz w:val="24"/>
        <w:szCs w:val="24"/>
      </w:rPr>
    </w:pPr>
  </w:p>
  <w:p w:rsidR="00067630" w:rsidRPr="00067630" w:rsidRDefault="00067630" w:rsidP="00067630">
    <w:pPr>
      <w:pStyle w:val="Header"/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sz w:val="24"/>
        <w:szCs w:val="24"/>
      </w:rPr>
      <w:t xml:space="preserve">Please refer to </w:t>
    </w:r>
    <w:r>
      <w:rPr>
        <w:rFonts w:ascii="Arial" w:hAnsi="Arial" w:cs="Arial"/>
        <w:sz w:val="24"/>
        <w:szCs w:val="24"/>
      </w:rPr>
      <w:t>hazard identification and r</w:t>
    </w:r>
    <w:r w:rsidRPr="00067630">
      <w:rPr>
        <w:rFonts w:ascii="Arial" w:hAnsi="Arial" w:cs="Arial"/>
        <w:sz w:val="24"/>
        <w:szCs w:val="24"/>
      </w:rPr>
      <w:t>isk</w:t>
    </w:r>
    <w:r>
      <w:rPr>
        <w:rFonts w:ascii="Arial" w:hAnsi="Arial" w:cs="Arial"/>
        <w:sz w:val="24"/>
        <w:szCs w:val="24"/>
      </w:rPr>
      <w:t xml:space="preserve"> assessment g</w:t>
    </w:r>
    <w:r w:rsidRPr="00067630">
      <w:rPr>
        <w:rFonts w:ascii="Arial" w:hAnsi="Arial" w:cs="Arial"/>
        <w:sz w:val="24"/>
        <w:szCs w:val="24"/>
      </w:rPr>
      <w:t>uidance</w:t>
    </w:r>
  </w:p>
  <w:p w:rsidR="00C04CE0" w:rsidRPr="00291F6A" w:rsidRDefault="00C04CE0" w:rsidP="00D05227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630" w:rsidRDefault="00067630" w:rsidP="00275288">
    <w:pPr>
      <w:pStyle w:val="Header"/>
      <w:tabs>
        <w:tab w:val="clear" w:pos="4153"/>
        <w:tab w:val="clear" w:pos="8306"/>
        <w:tab w:val="left" w:pos="1889"/>
        <w:tab w:val="left" w:pos="7390"/>
        <w:tab w:val="center" w:pos="7880"/>
      </w:tabs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noProof/>
        <w:sz w:val="24"/>
        <w:szCs w:val="24"/>
      </w:rPr>
      <w:drawing>
        <wp:inline distT="0" distB="0" distL="0" distR="0">
          <wp:extent cx="2419350" cy="767080"/>
          <wp:effectExtent l="0" t="0" r="0" b="0"/>
          <wp:docPr id="4" name="Picture 3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28F" w:rsidRPr="00067630" w:rsidRDefault="0098328F" w:rsidP="00067630">
    <w:pPr>
      <w:pStyle w:val="Header"/>
      <w:tabs>
        <w:tab w:val="clear" w:pos="4153"/>
        <w:tab w:val="clear" w:pos="8306"/>
        <w:tab w:val="left" w:pos="1889"/>
        <w:tab w:val="left" w:pos="7390"/>
        <w:tab w:val="center" w:pos="7880"/>
      </w:tabs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sz w:val="24"/>
        <w:szCs w:val="24"/>
      </w:rPr>
      <w:t>Risk Assessment Form</w:t>
    </w:r>
  </w:p>
  <w:p w:rsidR="0098328F" w:rsidRPr="00067630" w:rsidRDefault="0098328F" w:rsidP="00067630">
    <w:pPr>
      <w:pStyle w:val="Header"/>
      <w:jc w:val="center"/>
      <w:rPr>
        <w:rFonts w:ascii="Arial" w:hAnsi="Arial" w:cs="Arial"/>
        <w:sz w:val="24"/>
        <w:szCs w:val="24"/>
      </w:rPr>
    </w:pPr>
  </w:p>
  <w:p w:rsidR="0098328F" w:rsidRPr="00067630" w:rsidRDefault="0098328F" w:rsidP="00067630">
    <w:pPr>
      <w:pStyle w:val="Header"/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sz w:val="24"/>
        <w:szCs w:val="24"/>
      </w:rPr>
      <w:t xml:space="preserve">Please refer to </w:t>
    </w:r>
    <w:r w:rsidR="00067630">
      <w:rPr>
        <w:rFonts w:ascii="Arial" w:hAnsi="Arial" w:cs="Arial"/>
        <w:sz w:val="24"/>
        <w:szCs w:val="24"/>
      </w:rPr>
      <w:t>hazard identification and r</w:t>
    </w:r>
    <w:r w:rsidRPr="00067630">
      <w:rPr>
        <w:rFonts w:ascii="Arial" w:hAnsi="Arial" w:cs="Arial"/>
        <w:sz w:val="24"/>
        <w:szCs w:val="24"/>
      </w:rPr>
      <w:t>isk</w:t>
    </w:r>
    <w:r w:rsidR="00067630">
      <w:rPr>
        <w:rFonts w:ascii="Arial" w:hAnsi="Arial" w:cs="Arial"/>
        <w:sz w:val="24"/>
        <w:szCs w:val="24"/>
      </w:rPr>
      <w:t xml:space="preserve"> assessment g</w:t>
    </w:r>
    <w:r w:rsidRPr="00067630">
      <w:rPr>
        <w:rFonts w:ascii="Arial" w:hAnsi="Arial" w:cs="Arial"/>
        <w:sz w:val="24"/>
        <w:szCs w:val="24"/>
      </w:rPr>
      <w:t>uidance</w:t>
    </w:r>
  </w:p>
  <w:p w:rsidR="0098328F" w:rsidRPr="0098328F" w:rsidRDefault="0098328F" w:rsidP="0098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510"/>
    <w:multiLevelType w:val="hybridMultilevel"/>
    <w:tmpl w:val="104808E2"/>
    <w:lvl w:ilvl="0" w:tplc="D01A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39B0"/>
    <w:multiLevelType w:val="hybridMultilevel"/>
    <w:tmpl w:val="834A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F0B62"/>
    <w:multiLevelType w:val="hybridMultilevel"/>
    <w:tmpl w:val="0422E676"/>
    <w:lvl w:ilvl="0" w:tplc="F6B882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EF"/>
    <w:rsid w:val="0000003B"/>
    <w:rsid w:val="00020642"/>
    <w:rsid w:val="00032861"/>
    <w:rsid w:val="000349E7"/>
    <w:rsid w:val="00057EF2"/>
    <w:rsid w:val="00066B20"/>
    <w:rsid w:val="00067630"/>
    <w:rsid w:val="00075CA8"/>
    <w:rsid w:val="000773AA"/>
    <w:rsid w:val="000821DF"/>
    <w:rsid w:val="00083463"/>
    <w:rsid w:val="00097BF1"/>
    <w:rsid w:val="000A378E"/>
    <w:rsid w:val="000B15EF"/>
    <w:rsid w:val="000B244A"/>
    <w:rsid w:val="000B6743"/>
    <w:rsid w:val="000C54A8"/>
    <w:rsid w:val="000D1A1B"/>
    <w:rsid w:val="000D22AA"/>
    <w:rsid w:val="000E63A8"/>
    <w:rsid w:val="00102F93"/>
    <w:rsid w:val="001102E7"/>
    <w:rsid w:val="00111CA5"/>
    <w:rsid w:val="001121DF"/>
    <w:rsid w:val="0012260F"/>
    <w:rsid w:val="00123BB0"/>
    <w:rsid w:val="00124252"/>
    <w:rsid w:val="0014769B"/>
    <w:rsid w:val="00150D26"/>
    <w:rsid w:val="00155B64"/>
    <w:rsid w:val="001650E0"/>
    <w:rsid w:val="00170E00"/>
    <w:rsid w:val="00170F6D"/>
    <w:rsid w:val="001773B6"/>
    <w:rsid w:val="001824BD"/>
    <w:rsid w:val="001B30C0"/>
    <w:rsid w:val="001B336A"/>
    <w:rsid w:val="001D1718"/>
    <w:rsid w:val="001D2A99"/>
    <w:rsid w:val="001E5BE8"/>
    <w:rsid w:val="00213CB0"/>
    <w:rsid w:val="00224659"/>
    <w:rsid w:val="00233FAC"/>
    <w:rsid w:val="002368D4"/>
    <w:rsid w:val="00240229"/>
    <w:rsid w:val="00245916"/>
    <w:rsid w:val="00247286"/>
    <w:rsid w:val="00273A81"/>
    <w:rsid w:val="00275288"/>
    <w:rsid w:val="00280BDF"/>
    <w:rsid w:val="00285A42"/>
    <w:rsid w:val="00287F4B"/>
    <w:rsid w:val="00291F6A"/>
    <w:rsid w:val="00294CEF"/>
    <w:rsid w:val="002B3C31"/>
    <w:rsid w:val="002B7C8C"/>
    <w:rsid w:val="002C4A9E"/>
    <w:rsid w:val="002D0F74"/>
    <w:rsid w:val="002D6EEA"/>
    <w:rsid w:val="003002DC"/>
    <w:rsid w:val="00315C83"/>
    <w:rsid w:val="00323FA3"/>
    <w:rsid w:val="003252B9"/>
    <w:rsid w:val="00327159"/>
    <w:rsid w:val="0034155D"/>
    <w:rsid w:val="00373C83"/>
    <w:rsid w:val="00374A53"/>
    <w:rsid w:val="0038054F"/>
    <w:rsid w:val="00381DF2"/>
    <w:rsid w:val="003B2C81"/>
    <w:rsid w:val="003B2D05"/>
    <w:rsid w:val="003B6865"/>
    <w:rsid w:val="003C660D"/>
    <w:rsid w:val="003F19CF"/>
    <w:rsid w:val="00413A69"/>
    <w:rsid w:val="00420D7E"/>
    <w:rsid w:val="00451AFD"/>
    <w:rsid w:val="00465C95"/>
    <w:rsid w:val="00475778"/>
    <w:rsid w:val="004801EB"/>
    <w:rsid w:val="004835B1"/>
    <w:rsid w:val="00492FD1"/>
    <w:rsid w:val="00493CDA"/>
    <w:rsid w:val="00496609"/>
    <w:rsid w:val="00496657"/>
    <w:rsid w:val="004B3646"/>
    <w:rsid w:val="004C34BE"/>
    <w:rsid w:val="004D5A1F"/>
    <w:rsid w:val="004E1071"/>
    <w:rsid w:val="004E692D"/>
    <w:rsid w:val="004F0B24"/>
    <w:rsid w:val="004F3010"/>
    <w:rsid w:val="0050701F"/>
    <w:rsid w:val="00520617"/>
    <w:rsid w:val="005239B3"/>
    <w:rsid w:val="005245F6"/>
    <w:rsid w:val="0055503D"/>
    <w:rsid w:val="00562323"/>
    <w:rsid w:val="00567BD7"/>
    <w:rsid w:val="005917CC"/>
    <w:rsid w:val="005A280F"/>
    <w:rsid w:val="005A7EA0"/>
    <w:rsid w:val="005B0812"/>
    <w:rsid w:val="005C12A1"/>
    <w:rsid w:val="005C3ECD"/>
    <w:rsid w:val="005E3A9B"/>
    <w:rsid w:val="005F4214"/>
    <w:rsid w:val="005F525A"/>
    <w:rsid w:val="00642578"/>
    <w:rsid w:val="006507C0"/>
    <w:rsid w:val="00654D36"/>
    <w:rsid w:val="006672C0"/>
    <w:rsid w:val="0066773A"/>
    <w:rsid w:val="00671293"/>
    <w:rsid w:val="00672791"/>
    <w:rsid w:val="00674F41"/>
    <w:rsid w:val="00697499"/>
    <w:rsid w:val="006A1650"/>
    <w:rsid w:val="006A789B"/>
    <w:rsid w:val="006B6D08"/>
    <w:rsid w:val="006C1F12"/>
    <w:rsid w:val="006D56CE"/>
    <w:rsid w:val="006F335B"/>
    <w:rsid w:val="0072410E"/>
    <w:rsid w:val="00725825"/>
    <w:rsid w:val="00727456"/>
    <w:rsid w:val="00731A1D"/>
    <w:rsid w:val="007322B9"/>
    <w:rsid w:val="00732F38"/>
    <w:rsid w:val="00752ABA"/>
    <w:rsid w:val="00754432"/>
    <w:rsid w:val="007621A5"/>
    <w:rsid w:val="0077235B"/>
    <w:rsid w:val="00774895"/>
    <w:rsid w:val="00785C25"/>
    <w:rsid w:val="00793360"/>
    <w:rsid w:val="00793B32"/>
    <w:rsid w:val="00795AA0"/>
    <w:rsid w:val="007A5B8F"/>
    <w:rsid w:val="007D07B3"/>
    <w:rsid w:val="007D185B"/>
    <w:rsid w:val="007D69E7"/>
    <w:rsid w:val="00822316"/>
    <w:rsid w:val="00837EA6"/>
    <w:rsid w:val="00854A36"/>
    <w:rsid w:val="008640BA"/>
    <w:rsid w:val="00876331"/>
    <w:rsid w:val="008971F3"/>
    <w:rsid w:val="008A1C59"/>
    <w:rsid w:val="008B1F26"/>
    <w:rsid w:val="008C7AA6"/>
    <w:rsid w:val="008D2DEA"/>
    <w:rsid w:val="008F0FEA"/>
    <w:rsid w:val="00904009"/>
    <w:rsid w:val="00922237"/>
    <w:rsid w:val="009324E7"/>
    <w:rsid w:val="00935861"/>
    <w:rsid w:val="00941B13"/>
    <w:rsid w:val="00946E53"/>
    <w:rsid w:val="00960C16"/>
    <w:rsid w:val="00962CFD"/>
    <w:rsid w:val="009710DA"/>
    <w:rsid w:val="0098328F"/>
    <w:rsid w:val="009850CE"/>
    <w:rsid w:val="009950DE"/>
    <w:rsid w:val="009A27E5"/>
    <w:rsid w:val="009A598D"/>
    <w:rsid w:val="009A7986"/>
    <w:rsid w:val="009F6473"/>
    <w:rsid w:val="00A1065D"/>
    <w:rsid w:val="00A24A01"/>
    <w:rsid w:val="00A26377"/>
    <w:rsid w:val="00A27BA9"/>
    <w:rsid w:val="00A33E66"/>
    <w:rsid w:val="00A56545"/>
    <w:rsid w:val="00A568F3"/>
    <w:rsid w:val="00A628A3"/>
    <w:rsid w:val="00A869ED"/>
    <w:rsid w:val="00A95491"/>
    <w:rsid w:val="00A95B90"/>
    <w:rsid w:val="00AB10BE"/>
    <w:rsid w:val="00AB2CAA"/>
    <w:rsid w:val="00AB5536"/>
    <w:rsid w:val="00AC2168"/>
    <w:rsid w:val="00AC2797"/>
    <w:rsid w:val="00AF3185"/>
    <w:rsid w:val="00AF3D62"/>
    <w:rsid w:val="00AF721A"/>
    <w:rsid w:val="00B0667B"/>
    <w:rsid w:val="00B10EE0"/>
    <w:rsid w:val="00B12C63"/>
    <w:rsid w:val="00B6218A"/>
    <w:rsid w:val="00B64FC2"/>
    <w:rsid w:val="00B77426"/>
    <w:rsid w:val="00B83848"/>
    <w:rsid w:val="00B92C8F"/>
    <w:rsid w:val="00BA05C9"/>
    <w:rsid w:val="00BA538F"/>
    <w:rsid w:val="00BA73DD"/>
    <w:rsid w:val="00BB35BF"/>
    <w:rsid w:val="00BC23F9"/>
    <w:rsid w:val="00BC31DF"/>
    <w:rsid w:val="00BD381E"/>
    <w:rsid w:val="00BF56CB"/>
    <w:rsid w:val="00C04CE0"/>
    <w:rsid w:val="00C214C2"/>
    <w:rsid w:val="00C2449A"/>
    <w:rsid w:val="00C402B4"/>
    <w:rsid w:val="00C42131"/>
    <w:rsid w:val="00C84794"/>
    <w:rsid w:val="00CA70AB"/>
    <w:rsid w:val="00CC6568"/>
    <w:rsid w:val="00D05227"/>
    <w:rsid w:val="00D17046"/>
    <w:rsid w:val="00D2368B"/>
    <w:rsid w:val="00D46A55"/>
    <w:rsid w:val="00D73720"/>
    <w:rsid w:val="00D90288"/>
    <w:rsid w:val="00D9655C"/>
    <w:rsid w:val="00DA440C"/>
    <w:rsid w:val="00DB1E8E"/>
    <w:rsid w:val="00DD2C4E"/>
    <w:rsid w:val="00DD4C30"/>
    <w:rsid w:val="00E023EB"/>
    <w:rsid w:val="00E078E9"/>
    <w:rsid w:val="00E13556"/>
    <w:rsid w:val="00E1496D"/>
    <w:rsid w:val="00E3708C"/>
    <w:rsid w:val="00E43F86"/>
    <w:rsid w:val="00E46038"/>
    <w:rsid w:val="00E46441"/>
    <w:rsid w:val="00E544F8"/>
    <w:rsid w:val="00E65EC5"/>
    <w:rsid w:val="00E73AF4"/>
    <w:rsid w:val="00E750F9"/>
    <w:rsid w:val="00E9790C"/>
    <w:rsid w:val="00EA5E56"/>
    <w:rsid w:val="00EA7FD3"/>
    <w:rsid w:val="00EB50F6"/>
    <w:rsid w:val="00EE42E6"/>
    <w:rsid w:val="00EF532F"/>
    <w:rsid w:val="00F11CE5"/>
    <w:rsid w:val="00F26E7E"/>
    <w:rsid w:val="00F37968"/>
    <w:rsid w:val="00F47165"/>
    <w:rsid w:val="00F53B64"/>
    <w:rsid w:val="00F702C7"/>
    <w:rsid w:val="00F750B1"/>
    <w:rsid w:val="00F7554C"/>
    <w:rsid w:val="00F83149"/>
    <w:rsid w:val="00F85FC9"/>
    <w:rsid w:val="00FA6EDF"/>
    <w:rsid w:val="00FB5B81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950FEC1"/>
  <w15:chartTrackingRefBased/>
  <w15:docId w15:val="{B763DEBE-3287-4B79-9212-9CD10D5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EF"/>
  </w:style>
  <w:style w:type="paragraph" w:styleId="Heading1">
    <w:name w:val="heading 1"/>
    <w:basedOn w:val="Normal"/>
    <w:next w:val="Normal"/>
    <w:qFormat/>
    <w:rsid w:val="000B15EF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1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5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16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39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239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0701F"/>
  </w:style>
  <w:style w:type="paragraph" w:styleId="ListParagraph">
    <w:name w:val="List Paragraph"/>
    <w:basedOn w:val="Normal"/>
    <w:uiPriority w:val="34"/>
    <w:qFormat/>
    <w:rsid w:val="005070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842E-C4D0-415A-9C63-FBCBBEF8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risk assessment template - blank 2021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risk assessment template - blank 2021</dc:title>
  <dc:subject/>
  <dc:creator>Herefordshire Council</dc:creator>
  <cp:keywords>risk assessment; hazard</cp:keywords>
  <dc:description/>
  <cp:lastModifiedBy>Harris, Susan</cp:lastModifiedBy>
  <cp:revision>3</cp:revision>
  <cp:lastPrinted>2017-04-19T08:36:00Z</cp:lastPrinted>
  <dcterms:created xsi:type="dcterms:W3CDTF">2021-02-03T14:28:00Z</dcterms:created>
  <dcterms:modified xsi:type="dcterms:W3CDTF">2021-02-08T12:14:00Z</dcterms:modified>
</cp:coreProperties>
</file>