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9FD" w:rsidRPr="008B56BC" w:rsidRDefault="008269FD" w:rsidP="008269FD">
      <w:pPr>
        <w:pStyle w:val="Heading1"/>
      </w:pPr>
      <w:r w:rsidRPr="008B56BC">
        <w:t>NEF sufficiency assessment template</w:t>
      </w:r>
    </w:p>
    <w:p w:rsidR="008269FD" w:rsidRPr="008B56BC" w:rsidRDefault="008269FD" w:rsidP="008269FD">
      <w:pPr>
        <w:rPr>
          <w:b/>
          <w:bCs/>
        </w:rPr>
      </w:pPr>
      <w:r w:rsidRPr="008B56BC">
        <w:rPr>
          <w:b/>
          <w:bCs/>
        </w:rPr>
        <w:t>Early education and childcare - Statutory guid</w:t>
      </w:r>
      <w:r>
        <w:rPr>
          <w:b/>
          <w:bCs/>
        </w:rPr>
        <w:t>ance for local authorities, April 2023</w:t>
      </w:r>
    </w:p>
    <w:p w:rsidR="008269FD" w:rsidRPr="008B56BC" w:rsidRDefault="008269FD" w:rsidP="008269FD">
      <w:pPr>
        <w:rPr>
          <w:b/>
          <w:bCs/>
        </w:rPr>
      </w:pPr>
      <w:r w:rsidRPr="008B56BC">
        <w:rPr>
          <w:b/>
          <w:bCs/>
        </w:rPr>
        <w:t>To secure quality, local authorities should:</w:t>
      </w:r>
    </w:p>
    <w:p w:rsidR="008269FD" w:rsidRDefault="008269FD" w:rsidP="008269FD">
      <w:r>
        <w:t>A3.10 Only fund places for two-year-old children in ‘satisfactory’ or ‘requires improvement’ providers where there is not sufficient, accessible ‘good’ or ‘outstanding’ provision.</w:t>
      </w:r>
    </w:p>
    <w:p w:rsidR="008269FD" w:rsidRDefault="008269FD" w:rsidP="008269FD">
      <w:pPr>
        <w:pStyle w:val="Heading2"/>
        <w:rPr>
          <w:rFonts w:asciiTheme="minorHAnsi" w:hAnsiTheme="minorHAnsi" w:cstheme="minorHAnsi"/>
          <w:b w:val="0"/>
          <w:color w:val="auto"/>
          <w:sz w:val="22"/>
          <w:szCs w:val="22"/>
        </w:rPr>
      </w:pPr>
      <w:r w:rsidRPr="008269FD">
        <w:rPr>
          <w:rFonts w:asciiTheme="minorHAnsi" w:hAnsiTheme="minorHAnsi" w:cstheme="minorHAnsi"/>
          <w:b w:val="0"/>
          <w:color w:val="auto"/>
          <w:sz w:val="22"/>
          <w:szCs w:val="22"/>
        </w:rPr>
        <w:t>A3.13 Secure alternative provision and withdraw funding from a provider (other than a local authority maintained school), as soon as is practicable, when Ofsted publish an inspection judgement of the provider of ‘inadequate’ or when Ofsted publish a second consecutive inspection judgement of a childminder agency of ‘ineffective’13. Following a second consecutive ‘ineffective’ inspection judgement, local authorities should continue to fund the childminder agency’s providers if the childminder agency has assessed them as being of acceptable quality and Ofsted has not identified any concerns about the childminder agency’s assessment arrangements, and should endeavour to treat all of the childminder agency’s other providers in a comparable way to Ofsted-registered providers with equivalent judgements. Subject to this, it is for local authorities to determine an appropriate timeframe for withdrawing funding. When withdrawing funding, local authorities should take into account the continuity of care for children who are already receiving their free hours at a provider or with an agency registered childminder and Ofsted monitoring information about the provider or agency. When withdrawing funding Provider details from a childminder agency-registered provider, local authorities should also take account of parents’ wishes. Local authorities should take appropriate action to improve the quality of provision at a local authority maintained school which has been judged by Ofsted to require significant improvement or has been placed in special measures.</w:t>
      </w:r>
    </w:p>
    <w:p w:rsidR="008269FD" w:rsidRPr="008269FD" w:rsidRDefault="00122105" w:rsidP="008269FD">
      <w:hyperlink r:id="rId12" w:history="1">
        <w:r w:rsidR="008269FD" w:rsidRPr="008269FD">
          <w:rPr>
            <w:color w:val="0000FF"/>
            <w:u w:val="single"/>
          </w:rPr>
          <w:t>Early education and childcare - Statutory guidance for local authorities (publishing.service.gov.uk)</w:t>
        </w:r>
      </w:hyperlink>
      <w:r w:rsidR="008269FD">
        <w:t xml:space="preserve"> </w:t>
      </w:r>
    </w:p>
    <w:tbl>
      <w:tblPr>
        <w:tblStyle w:val="TableGrid"/>
        <w:tblW w:w="0" w:type="auto"/>
        <w:tblLook w:val="04A0" w:firstRow="1" w:lastRow="0" w:firstColumn="1" w:lastColumn="0" w:noHBand="0" w:noVBand="1"/>
        <w:tblCaption w:val="Provider details"/>
      </w:tblPr>
      <w:tblGrid>
        <w:gridCol w:w="2689"/>
        <w:gridCol w:w="6327"/>
      </w:tblGrid>
      <w:tr w:rsidR="008269FD" w:rsidTr="00122105">
        <w:trPr>
          <w:trHeight w:val="624"/>
          <w:tblHeader/>
        </w:trPr>
        <w:tc>
          <w:tcPr>
            <w:tcW w:w="2689" w:type="dxa"/>
          </w:tcPr>
          <w:p w:rsidR="008269FD" w:rsidRPr="008B56BC" w:rsidRDefault="008269FD" w:rsidP="00073D47">
            <w:pPr>
              <w:rPr>
                <w:b/>
                <w:bCs/>
              </w:rPr>
            </w:pPr>
            <w:r w:rsidRPr="008B56BC">
              <w:rPr>
                <w:b/>
                <w:bCs/>
              </w:rPr>
              <w:t>Name of setting</w:t>
            </w:r>
          </w:p>
        </w:tc>
        <w:tc>
          <w:tcPr>
            <w:tcW w:w="6327" w:type="dxa"/>
          </w:tcPr>
          <w:p w:rsidR="008269FD" w:rsidRDefault="008269FD" w:rsidP="00073D47"/>
        </w:tc>
      </w:tr>
      <w:tr w:rsidR="008269FD" w:rsidTr="00122105">
        <w:trPr>
          <w:trHeight w:val="624"/>
        </w:trPr>
        <w:tc>
          <w:tcPr>
            <w:tcW w:w="2689" w:type="dxa"/>
          </w:tcPr>
          <w:p w:rsidR="008269FD" w:rsidRPr="008B56BC" w:rsidRDefault="008269FD" w:rsidP="00073D47">
            <w:pPr>
              <w:rPr>
                <w:b/>
                <w:bCs/>
              </w:rPr>
            </w:pPr>
            <w:r w:rsidRPr="008B56BC">
              <w:rPr>
                <w:b/>
                <w:bCs/>
              </w:rPr>
              <w:t>District</w:t>
            </w:r>
          </w:p>
        </w:tc>
        <w:tc>
          <w:tcPr>
            <w:tcW w:w="6327" w:type="dxa"/>
          </w:tcPr>
          <w:p w:rsidR="008269FD" w:rsidRDefault="008269FD" w:rsidP="00073D47"/>
        </w:tc>
      </w:tr>
      <w:tr w:rsidR="008269FD" w:rsidTr="00122105">
        <w:trPr>
          <w:trHeight w:val="624"/>
        </w:trPr>
        <w:tc>
          <w:tcPr>
            <w:tcW w:w="2689" w:type="dxa"/>
          </w:tcPr>
          <w:p w:rsidR="008269FD" w:rsidRPr="008B56BC" w:rsidRDefault="008269FD" w:rsidP="00073D47">
            <w:pPr>
              <w:rPr>
                <w:b/>
                <w:bCs/>
              </w:rPr>
            </w:pPr>
            <w:r w:rsidRPr="008B56BC">
              <w:rPr>
                <w:b/>
                <w:bCs/>
              </w:rPr>
              <w:t>Postcode</w:t>
            </w:r>
          </w:p>
        </w:tc>
        <w:tc>
          <w:tcPr>
            <w:tcW w:w="6327" w:type="dxa"/>
          </w:tcPr>
          <w:p w:rsidR="008269FD" w:rsidRDefault="008269FD" w:rsidP="00073D47"/>
        </w:tc>
      </w:tr>
      <w:tr w:rsidR="008269FD" w:rsidTr="00122105">
        <w:trPr>
          <w:trHeight w:val="624"/>
        </w:trPr>
        <w:tc>
          <w:tcPr>
            <w:tcW w:w="2689" w:type="dxa"/>
          </w:tcPr>
          <w:p w:rsidR="008269FD" w:rsidRPr="008B56BC" w:rsidRDefault="008269FD" w:rsidP="00073D47">
            <w:pPr>
              <w:rPr>
                <w:b/>
                <w:bCs/>
              </w:rPr>
            </w:pPr>
            <w:r w:rsidRPr="008B56BC">
              <w:rPr>
                <w:b/>
                <w:bCs/>
              </w:rPr>
              <w:t>Improvement Adviser</w:t>
            </w:r>
          </w:p>
        </w:tc>
        <w:tc>
          <w:tcPr>
            <w:tcW w:w="6327" w:type="dxa"/>
          </w:tcPr>
          <w:p w:rsidR="008269FD" w:rsidRDefault="008269FD" w:rsidP="00073D47"/>
        </w:tc>
      </w:tr>
      <w:tr w:rsidR="008269FD" w:rsidTr="00122105">
        <w:trPr>
          <w:trHeight w:val="624"/>
        </w:trPr>
        <w:tc>
          <w:tcPr>
            <w:tcW w:w="2689" w:type="dxa"/>
          </w:tcPr>
          <w:p w:rsidR="008269FD" w:rsidRPr="008B56BC" w:rsidRDefault="008269FD" w:rsidP="00073D47">
            <w:pPr>
              <w:rPr>
                <w:b/>
                <w:bCs/>
              </w:rPr>
            </w:pPr>
            <w:r w:rsidRPr="008B56BC">
              <w:rPr>
                <w:b/>
                <w:bCs/>
              </w:rPr>
              <w:t>Ofsted grade</w:t>
            </w:r>
          </w:p>
        </w:tc>
        <w:tc>
          <w:tcPr>
            <w:tcW w:w="6327" w:type="dxa"/>
          </w:tcPr>
          <w:p w:rsidR="008269FD" w:rsidRDefault="008269FD" w:rsidP="00073D47"/>
        </w:tc>
      </w:tr>
      <w:tr w:rsidR="008269FD" w:rsidTr="00122105">
        <w:trPr>
          <w:trHeight w:val="624"/>
        </w:trPr>
        <w:tc>
          <w:tcPr>
            <w:tcW w:w="2689" w:type="dxa"/>
          </w:tcPr>
          <w:p w:rsidR="008269FD" w:rsidRPr="008B56BC" w:rsidRDefault="008269FD" w:rsidP="00073D47">
            <w:pPr>
              <w:rPr>
                <w:b/>
                <w:bCs/>
              </w:rPr>
            </w:pPr>
            <w:r w:rsidRPr="008B56BC">
              <w:rPr>
                <w:b/>
                <w:bCs/>
              </w:rPr>
              <w:t>Date of inspection</w:t>
            </w:r>
          </w:p>
        </w:tc>
        <w:tc>
          <w:tcPr>
            <w:tcW w:w="6327" w:type="dxa"/>
          </w:tcPr>
          <w:p w:rsidR="008269FD" w:rsidRDefault="008269FD" w:rsidP="00073D47"/>
        </w:tc>
      </w:tr>
      <w:tr w:rsidR="008269FD" w:rsidTr="00122105">
        <w:trPr>
          <w:trHeight w:val="624"/>
        </w:trPr>
        <w:tc>
          <w:tcPr>
            <w:tcW w:w="2689" w:type="dxa"/>
          </w:tcPr>
          <w:p w:rsidR="008269FD" w:rsidRPr="008B56BC" w:rsidRDefault="008269FD" w:rsidP="00073D47">
            <w:pPr>
              <w:rPr>
                <w:b/>
                <w:bCs/>
              </w:rPr>
            </w:pPr>
            <w:r w:rsidRPr="008B56BC">
              <w:rPr>
                <w:b/>
                <w:bCs/>
              </w:rPr>
              <w:t>Date report was published</w:t>
            </w:r>
          </w:p>
        </w:tc>
        <w:tc>
          <w:tcPr>
            <w:tcW w:w="6327" w:type="dxa"/>
          </w:tcPr>
          <w:p w:rsidR="008269FD" w:rsidRDefault="008269FD" w:rsidP="00073D47"/>
        </w:tc>
      </w:tr>
    </w:tbl>
    <w:p w:rsidR="008269FD" w:rsidRDefault="008269FD" w:rsidP="008269FD">
      <w:pPr>
        <w:pStyle w:val="Heading2"/>
      </w:pPr>
      <w:r>
        <w:t>Sufficiency details</w:t>
      </w:r>
    </w:p>
    <w:tbl>
      <w:tblPr>
        <w:tblStyle w:val="TableGrid"/>
        <w:tblW w:w="0" w:type="auto"/>
        <w:tblLook w:val="04A0" w:firstRow="1" w:lastRow="0" w:firstColumn="1" w:lastColumn="0" w:noHBand="0" w:noVBand="1"/>
        <w:tblCaption w:val="Sufficiency details"/>
      </w:tblPr>
      <w:tblGrid>
        <w:gridCol w:w="2689"/>
        <w:gridCol w:w="6327"/>
      </w:tblGrid>
      <w:tr w:rsidR="008269FD" w:rsidTr="00122105">
        <w:trPr>
          <w:trHeight w:val="794"/>
          <w:tblHeader/>
        </w:trPr>
        <w:tc>
          <w:tcPr>
            <w:tcW w:w="2689" w:type="dxa"/>
          </w:tcPr>
          <w:p w:rsidR="008269FD" w:rsidRPr="008B56BC" w:rsidRDefault="008269FD" w:rsidP="00073D47">
            <w:pPr>
              <w:rPr>
                <w:b/>
                <w:bCs/>
              </w:rPr>
            </w:pPr>
            <w:r w:rsidRPr="008B56BC">
              <w:rPr>
                <w:b/>
                <w:bCs/>
              </w:rPr>
              <w:t>Current operating hours per week/weeks per year</w:t>
            </w:r>
          </w:p>
        </w:tc>
        <w:tc>
          <w:tcPr>
            <w:tcW w:w="6327" w:type="dxa"/>
          </w:tcPr>
          <w:p w:rsidR="008269FD" w:rsidRDefault="008269FD" w:rsidP="00073D47"/>
        </w:tc>
      </w:tr>
    </w:tbl>
    <w:p w:rsidR="008269FD" w:rsidRPr="00971668" w:rsidRDefault="008269FD" w:rsidP="008269FD"/>
    <w:p w:rsidR="008269FD" w:rsidRDefault="008269FD" w:rsidP="008269FD">
      <w:pPr>
        <w:pStyle w:val="Heading2"/>
      </w:pPr>
      <w:r w:rsidRPr="00971668">
        <w:t>Number of children who received funding during previous three terms</w:t>
      </w:r>
    </w:p>
    <w:tbl>
      <w:tblPr>
        <w:tblStyle w:val="TableGrid"/>
        <w:tblW w:w="0" w:type="auto"/>
        <w:tblLook w:val="04A0" w:firstRow="1" w:lastRow="0" w:firstColumn="1" w:lastColumn="0" w:noHBand="0" w:noVBand="1"/>
        <w:tblCaption w:val="Number of children who received funding"/>
      </w:tblPr>
      <w:tblGrid>
        <w:gridCol w:w="2254"/>
        <w:gridCol w:w="2254"/>
        <w:gridCol w:w="2254"/>
        <w:gridCol w:w="2254"/>
      </w:tblGrid>
      <w:tr w:rsidR="008269FD" w:rsidTr="00122105">
        <w:trPr>
          <w:trHeight w:val="510"/>
          <w:tblHeader/>
        </w:trPr>
        <w:tc>
          <w:tcPr>
            <w:tcW w:w="2254" w:type="dxa"/>
          </w:tcPr>
          <w:p w:rsidR="008269FD" w:rsidRDefault="008269FD" w:rsidP="00073D47"/>
        </w:tc>
        <w:tc>
          <w:tcPr>
            <w:tcW w:w="2254" w:type="dxa"/>
          </w:tcPr>
          <w:p w:rsidR="008269FD" w:rsidRPr="00971668" w:rsidRDefault="008269FD" w:rsidP="00073D47">
            <w:pPr>
              <w:rPr>
                <w:b/>
                <w:bCs/>
              </w:rPr>
            </w:pPr>
            <w:r w:rsidRPr="00971668">
              <w:rPr>
                <w:b/>
                <w:bCs/>
              </w:rPr>
              <w:t xml:space="preserve">Autumn </w:t>
            </w:r>
          </w:p>
        </w:tc>
        <w:tc>
          <w:tcPr>
            <w:tcW w:w="2254" w:type="dxa"/>
          </w:tcPr>
          <w:p w:rsidR="008269FD" w:rsidRPr="00971668" w:rsidRDefault="008269FD" w:rsidP="00073D47">
            <w:pPr>
              <w:rPr>
                <w:b/>
                <w:bCs/>
              </w:rPr>
            </w:pPr>
            <w:r w:rsidRPr="00971668">
              <w:rPr>
                <w:b/>
                <w:bCs/>
              </w:rPr>
              <w:t xml:space="preserve">Spring </w:t>
            </w:r>
          </w:p>
        </w:tc>
        <w:tc>
          <w:tcPr>
            <w:tcW w:w="2254" w:type="dxa"/>
          </w:tcPr>
          <w:p w:rsidR="008269FD" w:rsidRPr="00971668" w:rsidRDefault="008269FD" w:rsidP="00073D47">
            <w:pPr>
              <w:rPr>
                <w:b/>
                <w:bCs/>
              </w:rPr>
            </w:pPr>
            <w:r w:rsidRPr="00971668">
              <w:rPr>
                <w:b/>
                <w:bCs/>
              </w:rPr>
              <w:t xml:space="preserve">Summer </w:t>
            </w:r>
          </w:p>
        </w:tc>
      </w:tr>
      <w:tr w:rsidR="008269FD" w:rsidTr="00073D47">
        <w:trPr>
          <w:trHeight w:val="510"/>
        </w:trPr>
        <w:tc>
          <w:tcPr>
            <w:tcW w:w="2254" w:type="dxa"/>
          </w:tcPr>
          <w:p w:rsidR="008269FD" w:rsidRPr="00971668" w:rsidRDefault="008269FD" w:rsidP="00073D47">
            <w:pPr>
              <w:rPr>
                <w:b/>
                <w:bCs/>
              </w:rPr>
            </w:pPr>
            <w:r w:rsidRPr="00971668">
              <w:rPr>
                <w:b/>
                <w:bCs/>
              </w:rPr>
              <w:t xml:space="preserve">Two-Year-Old Funding </w:t>
            </w:r>
          </w:p>
        </w:tc>
        <w:tc>
          <w:tcPr>
            <w:tcW w:w="2254" w:type="dxa"/>
          </w:tcPr>
          <w:p w:rsidR="008269FD" w:rsidRDefault="008269FD" w:rsidP="00073D47"/>
        </w:tc>
        <w:tc>
          <w:tcPr>
            <w:tcW w:w="2254" w:type="dxa"/>
          </w:tcPr>
          <w:p w:rsidR="008269FD" w:rsidRDefault="008269FD" w:rsidP="00073D47"/>
        </w:tc>
        <w:tc>
          <w:tcPr>
            <w:tcW w:w="2254" w:type="dxa"/>
          </w:tcPr>
          <w:p w:rsidR="008269FD" w:rsidRDefault="008269FD" w:rsidP="00073D47"/>
        </w:tc>
      </w:tr>
      <w:tr w:rsidR="008269FD" w:rsidTr="00073D47">
        <w:trPr>
          <w:trHeight w:val="510"/>
        </w:trPr>
        <w:tc>
          <w:tcPr>
            <w:tcW w:w="2254" w:type="dxa"/>
          </w:tcPr>
          <w:p w:rsidR="008269FD" w:rsidRPr="00971668" w:rsidRDefault="008269FD" w:rsidP="00073D47">
            <w:pPr>
              <w:rPr>
                <w:b/>
                <w:bCs/>
              </w:rPr>
            </w:pPr>
            <w:r w:rsidRPr="00971668">
              <w:rPr>
                <w:b/>
                <w:bCs/>
              </w:rPr>
              <w:t xml:space="preserve">3 &amp; 4-Year-Old Funding </w:t>
            </w:r>
          </w:p>
        </w:tc>
        <w:tc>
          <w:tcPr>
            <w:tcW w:w="2254" w:type="dxa"/>
          </w:tcPr>
          <w:p w:rsidR="008269FD" w:rsidRDefault="008269FD" w:rsidP="00073D47"/>
        </w:tc>
        <w:tc>
          <w:tcPr>
            <w:tcW w:w="2254" w:type="dxa"/>
          </w:tcPr>
          <w:p w:rsidR="008269FD" w:rsidRDefault="008269FD" w:rsidP="00073D47"/>
        </w:tc>
        <w:tc>
          <w:tcPr>
            <w:tcW w:w="2254" w:type="dxa"/>
          </w:tcPr>
          <w:p w:rsidR="008269FD" w:rsidRDefault="008269FD" w:rsidP="00073D47"/>
        </w:tc>
      </w:tr>
      <w:tr w:rsidR="008269FD" w:rsidTr="00073D47">
        <w:trPr>
          <w:trHeight w:val="510"/>
        </w:trPr>
        <w:tc>
          <w:tcPr>
            <w:tcW w:w="2254" w:type="dxa"/>
          </w:tcPr>
          <w:p w:rsidR="008269FD" w:rsidRPr="00971668" w:rsidRDefault="008269FD" w:rsidP="00073D47">
            <w:pPr>
              <w:rPr>
                <w:b/>
                <w:bCs/>
              </w:rPr>
            </w:pPr>
            <w:r w:rsidRPr="00971668">
              <w:rPr>
                <w:b/>
                <w:bCs/>
              </w:rPr>
              <w:t xml:space="preserve">Early Years Pupil Premium </w:t>
            </w:r>
          </w:p>
        </w:tc>
        <w:tc>
          <w:tcPr>
            <w:tcW w:w="2254" w:type="dxa"/>
          </w:tcPr>
          <w:p w:rsidR="008269FD" w:rsidRDefault="008269FD" w:rsidP="00073D47"/>
        </w:tc>
        <w:tc>
          <w:tcPr>
            <w:tcW w:w="2254" w:type="dxa"/>
          </w:tcPr>
          <w:p w:rsidR="008269FD" w:rsidRDefault="008269FD" w:rsidP="00073D47"/>
        </w:tc>
        <w:tc>
          <w:tcPr>
            <w:tcW w:w="2254" w:type="dxa"/>
          </w:tcPr>
          <w:p w:rsidR="008269FD" w:rsidRDefault="008269FD" w:rsidP="00073D47"/>
        </w:tc>
      </w:tr>
      <w:tr w:rsidR="008269FD" w:rsidTr="00073D47">
        <w:trPr>
          <w:trHeight w:val="510"/>
        </w:trPr>
        <w:tc>
          <w:tcPr>
            <w:tcW w:w="2254" w:type="dxa"/>
          </w:tcPr>
          <w:p w:rsidR="008269FD" w:rsidRPr="00971668" w:rsidRDefault="008269FD" w:rsidP="00073D47">
            <w:pPr>
              <w:rPr>
                <w:b/>
                <w:bCs/>
              </w:rPr>
            </w:pPr>
            <w:r w:rsidRPr="00971668">
              <w:rPr>
                <w:b/>
                <w:bCs/>
              </w:rPr>
              <w:t xml:space="preserve">Inclusion Funding </w:t>
            </w:r>
          </w:p>
        </w:tc>
        <w:tc>
          <w:tcPr>
            <w:tcW w:w="2254" w:type="dxa"/>
          </w:tcPr>
          <w:p w:rsidR="008269FD" w:rsidRDefault="008269FD" w:rsidP="00073D47"/>
        </w:tc>
        <w:tc>
          <w:tcPr>
            <w:tcW w:w="2254" w:type="dxa"/>
          </w:tcPr>
          <w:p w:rsidR="008269FD" w:rsidRDefault="008269FD" w:rsidP="00073D47"/>
        </w:tc>
        <w:tc>
          <w:tcPr>
            <w:tcW w:w="2254" w:type="dxa"/>
          </w:tcPr>
          <w:p w:rsidR="008269FD" w:rsidRDefault="008269FD" w:rsidP="00073D47"/>
        </w:tc>
      </w:tr>
    </w:tbl>
    <w:p w:rsidR="008269FD" w:rsidRDefault="008269FD" w:rsidP="008269FD"/>
    <w:p w:rsidR="008269FD" w:rsidRDefault="008269FD" w:rsidP="008269FD">
      <w:pPr>
        <w:pStyle w:val="Heading2"/>
      </w:pPr>
      <w:r w:rsidRPr="00971668">
        <w:t>Details of other NEF provision within the locality</w:t>
      </w:r>
    </w:p>
    <w:tbl>
      <w:tblPr>
        <w:tblStyle w:val="TableGrid"/>
        <w:tblW w:w="0" w:type="auto"/>
        <w:tblLook w:val="04A0" w:firstRow="1" w:lastRow="0" w:firstColumn="1" w:lastColumn="0" w:noHBand="0" w:noVBand="1"/>
        <w:tblCaption w:val="Details of other NEF provision within the locality"/>
      </w:tblPr>
      <w:tblGrid>
        <w:gridCol w:w="1803"/>
        <w:gridCol w:w="1803"/>
        <w:gridCol w:w="1803"/>
        <w:gridCol w:w="1803"/>
        <w:gridCol w:w="1804"/>
      </w:tblGrid>
      <w:tr w:rsidR="008269FD" w:rsidTr="00122105">
        <w:trPr>
          <w:trHeight w:val="567"/>
          <w:tblHeader/>
        </w:trPr>
        <w:tc>
          <w:tcPr>
            <w:tcW w:w="1803" w:type="dxa"/>
          </w:tcPr>
          <w:p w:rsidR="008269FD" w:rsidRPr="00971668" w:rsidRDefault="008269FD" w:rsidP="00073D47">
            <w:pPr>
              <w:rPr>
                <w:b/>
                <w:bCs/>
              </w:rPr>
            </w:pPr>
            <w:r w:rsidRPr="00971668">
              <w:rPr>
                <w:b/>
                <w:bCs/>
              </w:rPr>
              <w:t xml:space="preserve">Name of Setting </w:t>
            </w:r>
          </w:p>
        </w:tc>
        <w:tc>
          <w:tcPr>
            <w:tcW w:w="1803" w:type="dxa"/>
          </w:tcPr>
          <w:p w:rsidR="008269FD" w:rsidRPr="00971668" w:rsidRDefault="008269FD" w:rsidP="00073D47">
            <w:pPr>
              <w:rPr>
                <w:b/>
                <w:bCs/>
              </w:rPr>
            </w:pPr>
            <w:r w:rsidRPr="00971668">
              <w:rPr>
                <w:b/>
                <w:bCs/>
              </w:rPr>
              <w:t xml:space="preserve">Setting Type </w:t>
            </w:r>
          </w:p>
        </w:tc>
        <w:tc>
          <w:tcPr>
            <w:tcW w:w="1803" w:type="dxa"/>
          </w:tcPr>
          <w:p w:rsidR="008269FD" w:rsidRPr="00971668" w:rsidRDefault="008269FD" w:rsidP="00073D47">
            <w:pPr>
              <w:rPr>
                <w:b/>
                <w:bCs/>
              </w:rPr>
            </w:pPr>
            <w:r w:rsidRPr="00971668">
              <w:rPr>
                <w:b/>
                <w:bCs/>
              </w:rPr>
              <w:t xml:space="preserve">Number of Two-Year-Old Spaces </w:t>
            </w:r>
          </w:p>
        </w:tc>
        <w:tc>
          <w:tcPr>
            <w:tcW w:w="1803" w:type="dxa"/>
          </w:tcPr>
          <w:p w:rsidR="008269FD" w:rsidRPr="00971668" w:rsidRDefault="008269FD" w:rsidP="00073D47">
            <w:pPr>
              <w:rPr>
                <w:b/>
                <w:bCs/>
              </w:rPr>
            </w:pPr>
            <w:r w:rsidRPr="00971668">
              <w:rPr>
                <w:b/>
                <w:bCs/>
              </w:rPr>
              <w:t xml:space="preserve">Number of 3 &amp;4-Year-Old Spaces </w:t>
            </w:r>
          </w:p>
        </w:tc>
        <w:tc>
          <w:tcPr>
            <w:tcW w:w="1804" w:type="dxa"/>
          </w:tcPr>
          <w:p w:rsidR="008269FD" w:rsidRPr="00971668" w:rsidRDefault="008269FD" w:rsidP="00073D47">
            <w:pPr>
              <w:rPr>
                <w:b/>
                <w:bCs/>
              </w:rPr>
            </w:pPr>
            <w:r w:rsidRPr="00971668">
              <w:rPr>
                <w:b/>
                <w:bCs/>
              </w:rPr>
              <w:t xml:space="preserve">Distance from Provider </w:t>
            </w:r>
          </w:p>
        </w:tc>
      </w:tr>
      <w:tr w:rsidR="008269FD" w:rsidTr="00073D47">
        <w:trPr>
          <w:trHeight w:val="567"/>
        </w:trPr>
        <w:tc>
          <w:tcPr>
            <w:tcW w:w="1803" w:type="dxa"/>
          </w:tcPr>
          <w:p w:rsidR="008269FD" w:rsidRDefault="008269FD" w:rsidP="00073D47"/>
        </w:tc>
        <w:tc>
          <w:tcPr>
            <w:tcW w:w="1803" w:type="dxa"/>
          </w:tcPr>
          <w:p w:rsidR="008269FD" w:rsidRDefault="008269FD" w:rsidP="00073D47"/>
        </w:tc>
        <w:tc>
          <w:tcPr>
            <w:tcW w:w="1803" w:type="dxa"/>
          </w:tcPr>
          <w:p w:rsidR="008269FD" w:rsidRDefault="008269FD" w:rsidP="00073D47"/>
        </w:tc>
        <w:tc>
          <w:tcPr>
            <w:tcW w:w="1803" w:type="dxa"/>
          </w:tcPr>
          <w:p w:rsidR="008269FD" w:rsidRDefault="008269FD" w:rsidP="00073D47"/>
        </w:tc>
        <w:tc>
          <w:tcPr>
            <w:tcW w:w="1804" w:type="dxa"/>
          </w:tcPr>
          <w:p w:rsidR="008269FD" w:rsidRDefault="008269FD" w:rsidP="00073D47"/>
        </w:tc>
      </w:tr>
      <w:tr w:rsidR="008269FD" w:rsidTr="00073D47">
        <w:trPr>
          <w:trHeight w:val="567"/>
        </w:trPr>
        <w:tc>
          <w:tcPr>
            <w:tcW w:w="1803" w:type="dxa"/>
          </w:tcPr>
          <w:p w:rsidR="008269FD" w:rsidRDefault="008269FD" w:rsidP="00073D47"/>
        </w:tc>
        <w:tc>
          <w:tcPr>
            <w:tcW w:w="1803" w:type="dxa"/>
          </w:tcPr>
          <w:p w:rsidR="008269FD" w:rsidRDefault="008269FD" w:rsidP="00073D47"/>
        </w:tc>
        <w:tc>
          <w:tcPr>
            <w:tcW w:w="1803" w:type="dxa"/>
          </w:tcPr>
          <w:p w:rsidR="008269FD" w:rsidRDefault="008269FD" w:rsidP="00073D47"/>
        </w:tc>
        <w:tc>
          <w:tcPr>
            <w:tcW w:w="1803" w:type="dxa"/>
          </w:tcPr>
          <w:p w:rsidR="008269FD" w:rsidRDefault="008269FD" w:rsidP="00073D47"/>
        </w:tc>
        <w:tc>
          <w:tcPr>
            <w:tcW w:w="1804" w:type="dxa"/>
          </w:tcPr>
          <w:p w:rsidR="008269FD" w:rsidRDefault="008269FD" w:rsidP="00073D47"/>
        </w:tc>
      </w:tr>
      <w:tr w:rsidR="008269FD" w:rsidTr="00073D47">
        <w:trPr>
          <w:trHeight w:val="567"/>
        </w:trPr>
        <w:tc>
          <w:tcPr>
            <w:tcW w:w="1803" w:type="dxa"/>
          </w:tcPr>
          <w:p w:rsidR="008269FD" w:rsidRDefault="008269FD" w:rsidP="00073D47"/>
        </w:tc>
        <w:tc>
          <w:tcPr>
            <w:tcW w:w="1803" w:type="dxa"/>
          </w:tcPr>
          <w:p w:rsidR="008269FD" w:rsidRDefault="008269FD" w:rsidP="00073D47"/>
        </w:tc>
        <w:tc>
          <w:tcPr>
            <w:tcW w:w="1803" w:type="dxa"/>
          </w:tcPr>
          <w:p w:rsidR="008269FD" w:rsidRDefault="008269FD" w:rsidP="00073D47"/>
        </w:tc>
        <w:tc>
          <w:tcPr>
            <w:tcW w:w="1803" w:type="dxa"/>
          </w:tcPr>
          <w:p w:rsidR="008269FD" w:rsidRDefault="008269FD" w:rsidP="00073D47"/>
        </w:tc>
        <w:tc>
          <w:tcPr>
            <w:tcW w:w="1804" w:type="dxa"/>
          </w:tcPr>
          <w:p w:rsidR="008269FD" w:rsidRDefault="008269FD" w:rsidP="00073D47"/>
        </w:tc>
        <w:bookmarkStart w:id="0" w:name="_GoBack"/>
        <w:bookmarkEnd w:id="0"/>
      </w:tr>
    </w:tbl>
    <w:p w:rsidR="008269FD" w:rsidRDefault="008269FD" w:rsidP="008269FD"/>
    <w:tbl>
      <w:tblPr>
        <w:tblStyle w:val="TableGrid"/>
        <w:tblW w:w="0" w:type="auto"/>
        <w:tblLook w:val="04A0" w:firstRow="1" w:lastRow="0" w:firstColumn="1" w:lastColumn="0" w:noHBand="0" w:noVBand="1"/>
        <w:tblCaption w:val="Any continuity issues"/>
      </w:tblPr>
      <w:tblGrid>
        <w:gridCol w:w="4508"/>
        <w:gridCol w:w="4508"/>
      </w:tblGrid>
      <w:tr w:rsidR="008269FD" w:rsidTr="00122105">
        <w:trPr>
          <w:trHeight w:val="794"/>
          <w:tblHeader/>
        </w:trPr>
        <w:tc>
          <w:tcPr>
            <w:tcW w:w="4508" w:type="dxa"/>
          </w:tcPr>
          <w:p w:rsidR="008269FD" w:rsidRPr="00971668" w:rsidRDefault="008269FD" w:rsidP="00073D47">
            <w:pPr>
              <w:rPr>
                <w:b/>
                <w:bCs/>
              </w:rPr>
            </w:pPr>
            <w:r w:rsidRPr="00971668">
              <w:rPr>
                <w:b/>
                <w:bCs/>
              </w:rPr>
              <w:t>Are there any issues of continuity for children/families</w:t>
            </w:r>
          </w:p>
        </w:tc>
        <w:tc>
          <w:tcPr>
            <w:tcW w:w="4508" w:type="dxa"/>
          </w:tcPr>
          <w:p w:rsidR="008269FD" w:rsidRDefault="008269FD" w:rsidP="00073D47"/>
        </w:tc>
      </w:tr>
    </w:tbl>
    <w:p w:rsidR="008269FD" w:rsidRDefault="008269FD" w:rsidP="008269FD">
      <w:pPr>
        <w:pStyle w:val="Heading2"/>
      </w:pPr>
      <w:r>
        <w:t>Administration</w:t>
      </w:r>
    </w:p>
    <w:tbl>
      <w:tblPr>
        <w:tblStyle w:val="TableGrid"/>
        <w:tblW w:w="0" w:type="auto"/>
        <w:tblLook w:val="04A0" w:firstRow="1" w:lastRow="0" w:firstColumn="1" w:lastColumn="0" w:noHBand="0" w:noVBand="1"/>
        <w:tblCaption w:val="Administration"/>
      </w:tblPr>
      <w:tblGrid>
        <w:gridCol w:w="3114"/>
        <w:gridCol w:w="5902"/>
      </w:tblGrid>
      <w:tr w:rsidR="008269FD" w:rsidTr="00122105">
        <w:trPr>
          <w:trHeight w:val="567"/>
          <w:tblHeader/>
        </w:trPr>
        <w:tc>
          <w:tcPr>
            <w:tcW w:w="3114" w:type="dxa"/>
          </w:tcPr>
          <w:p w:rsidR="008269FD" w:rsidRPr="00971668" w:rsidRDefault="008269FD" w:rsidP="00073D47">
            <w:pPr>
              <w:rPr>
                <w:b/>
                <w:bCs/>
              </w:rPr>
            </w:pPr>
            <w:r w:rsidRPr="00971668">
              <w:rPr>
                <w:b/>
                <w:bCs/>
              </w:rPr>
              <w:t>Date funding will be removed</w:t>
            </w:r>
          </w:p>
        </w:tc>
        <w:tc>
          <w:tcPr>
            <w:tcW w:w="5902" w:type="dxa"/>
          </w:tcPr>
          <w:p w:rsidR="008269FD" w:rsidRDefault="008269FD" w:rsidP="00073D47"/>
        </w:tc>
      </w:tr>
      <w:tr w:rsidR="008269FD" w:rsidTr="00073D47">
        <w:trPr>
          <w:trHeight w:val="567"/>
        </w:trPr>
        <w:tc>
          <w:tcPr>
            <w:tcW w:w="3114" w:type="dxa"/>
          </w:tcPr>
          <w:p w:rsidR="008269FD" w:rsidRPr="00971668" w:rsidRDefault="008269FD" w:rsidP="00073D47">
            <w:pPr>
              <w:rPr>
                <w:b/>
                <w:bCs/>
              </w:rPr>
            </w:pPr>
            <w:r w:rsidRPr="00971668">
              <w:rPr>
                <w:b/>
                <w:bCs/>
              </w:rPr>
              <w:t>Date letter sent to provider</w:t>
            </w:r>
          </w:p>
        </w:tc>
        <w:tc>
          <w:tcPr>
            <w:tcW w:w="5902" w:type="dxa"/>
          </w:tcPr>
          <w:p w:rsidR="008269FD" w:rsidRDefault="008269FD" w:rsidP="00073D47"/>
        </w:tc>
      </w:tr>
      <w:tr w:rsidR="008269FD" w:rsidTr="00073D47">
        <w:trPr>
          <w:trHeight w:val="567"/>
        </w:trPr>
        <w:tc>
          <w:tcPr>
            <w:tcW w:w="3114" w:type="dxa"/>
          </w:tcPr>
          <w:p w:rsidR="008269FD" w:rsidRPr="00971668" w:rsidRDefault="008269FD" w:rsidP="00073D47">
            <w:pPr>
              <w:rPr>
                <w:b/>
                <w:bCs/>
              </w:rPr>
            </w:pPr>
            <w:r w:rsidRPr="00971668">
              <w:rPr>
                <w:b/>
                <w:bCs/>
              </w:rPr>
              <w:t>Date letter sent to parents</w:t>
            </w:r>
          </w:p>
        </w:tc>
        <w:tc>
          <w:tcPr>
            <w:tcW w:w="5902" w:type="dxa"/>
          </w:tcPr>
          <w:p w:rsidR="008269FD" w:rsidRDefault="008269FD" w:rsidP="00073D47"/>
        </w:tc>
      </w:tr>
      <w:tr w:rsidR="008269FD" w:rsidTr="00073D47">
        <w:trPr>
          <w:trHeight w:val="567"/>
        </w:trPr>
        <w:tc>
          <w:tcPr>
            <w:tcW w:w="3114" w:type="dxa"/>
          </w:tcPr>
          <w:p w:rsidR="008269FD" w:rsidRPr="00971668" w:rsidRDefault="008269FD" w:rsidP="00073D47">
            <w:pPr>
              <w:rPr>
                <w:b/>
                <w:bCs/>
              </w:rPr>
            </w:pPr>
            <w:r>
              <w:rPr>
                <w:b/>
                <w:bCs/>
              </w:rPr>
              <w:t>NEF team notified</w:t>
            </w:r>
          </w:p>
        </w:tc>
        <w:tc>
          <w:tcPr>
            <w:tcW w:w="5902" w:type="dxa"/>
          </w:tcPr>
          <w:p w:rsidR="008269FD" w:rsidRDefault="008269FD" w:rsidP="00073D47"/>
        </w:tc>
      </w:tr>
      <w:tr w:rsidR="008269FD" w:rsidTr="00073D47">
        <w:trPr>
          <w:trHeight w:val="567"/>
        </w:trPr>
        <w:tc>
          <w:tcPr>
            <w:tcW w:w="3114" w:type="dxa"/>
          </w:tcPr>
          <w:p w:rsidR="008269FD" w:rsidRPr="00971668" w:rsidRDefault="008269FD" w:rsidP="00073D47">
            <w:pPr>
              <w:rPr>
                <w:b/>
                <w:bCs/>
              </w:rPr>
            </w:pPr>
            <w:r>
              <w:rPr>
                <w:b/>
                <w:bCs/>
              </w:rPr>
              <w:t xml:space="preserve">Head of Learning and Achievement </w:t>
            </w:r>
          </w:p>
        </w:tc>
        <w:tc>
          <w:tcPr>
            <w:tcW w:w="5902" w:type="dxa"/>
          </w:tcPr>
          <w:p w:rsidR="008269FD" w:rsidRDefault="008269FD" w:rsidP="00073D47"/>
        </w:tc>
      </w:tr>
      <w:tr w:rsidR="008269FD" w:rsidTr="00073D47">
        <w:trPr>
          <w:trHeight w:val="567"/>
        </w:trPr>
        <w:tc>
          <w:tcPr>
            <w:tcW w:w="3114" w:type="dxa"/>
          </w:tcPr>
          <w:p w:rsidR="008269FD" w:rsidRPr="00971668" w:rsidRDefault="008269FD" w:rsidP="00073D47">
            <w:pPr>
              <w:rPr>
                <w:b/>
                <w:bCs/>
              </w:rPr>
            </w:pPr>
            <w:r w:rsidRPr="00971668">
              <w:rPr>
                <w:b/>
                <w:bCs/>
              </w:rPr>
              <w:t>List of registered children received from provider*</w:t>
            </w:r>
          </w:p>
        </w:tc>
        <w:tc>
          <w:tcPr>
            <w:tcW w:w="5902" w:type="dxa"/>
          </w:tcPr>
          <w:p w:rsidR="008269FD" w:rsidRDefault="008269FD" w:rsidP="00073D47"/>
        </w:tc>
      </w:tr>
    </w:tbl>
    <w:p w:rsidR="008269FD" w:rsidRPr="00971668" w:rsidRDefault="008269FD" w:rsidP="008269FD">
      <w:r>
        <w:t>*attach list</w:t>
      </w:r>
    </w:p>
    <w:p w:rsidR="008269FD" w:rsidRPr="001154CC" w:rsidRDefault="008269FD" w:rsidP="001154CC"/>
    <w:sectPr w:rsidR="008269FD" w:rsidRPr="001154CC" w:rsidSect="008269FD">
      <w:headerReference w:type="first" r:id="rId13"/>
      <w:footerReference w:type="first" r:id="rId14"/>
      <w:pgSz w:w="11906" w:h="16838"/>
      <w:pgMar w:top="720" w:right="720" w:bottom="720" w:left="720"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FD" w:rsidRDefault="008269FD" w:rsidP="00B416CE">
      <w:pPr>
        <w:pStyle w:val="Footer"/>
      </w:pPr>
      <w:r>
        <w:separator/>
      </w:r>
    </w:p>
  </w:endnote>
  <w:endnote w:type="continuationSeparator" w:id="0">
    <w:p w:rsidR="008269FD" w:rsidRDefault="008269FD"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29" w:rsidRPr="005879E3" w:rsidRDefault="00122105" w:rsidP="00C20E7E">
    <w:pPr>
      <w:pStyle w:val="Footer"/>
      <w:tabs>
        <w:tab w:val="clear" w:pos="4153"/>
        <w:tab w:val="clear" w:pos="8306"/>
        <w:tab w:val="center" w:pos="4828"/>
        <w:tab w:val="right" w:pos="9524"/>
      </w:tabs>
      <w:spacing w:before="120"/>
      <w:rPr>
        <w:rFonts w:cs="Times New Roman"/>
        <w:sz w:val="18"/>
      </w:rPr>
    </w:pPr>
    <w:sdt>
      <w:sdtPr>
        <w:rPr>
          <w:rFonts w:cs="Times New Roman"/>
          <w:sz w:val="18"/>
        </w:rPr>
        <w:alias w:val="Author"/>
        <w:tag w:val=""/>
        <w:id w:val="-1288039603"/>
        <w:dataBinding w:prefixMappings="xmlns:ns0='http://purl.org/dc/elements/1.1/' xmlns:ns1='http://schemas.openxmlformats.org/package/2006/metadata/core-properties' " w:xpath="/ns1:coreProperties[1]/ns0:creator[1]" w:storeItemID="{6C3C8BC8-F283-45AE-878A-BAB7291924A1}"/>
        <w:text/>
      </w:sdtPr>
      <w:sdtEndPr/>
      <w:sdtContent>
        <w:r w:rsidR="008269FD">
          <w:rPr>
            <w:rFonts w:cs="Times New Roman"/>
            <w:sz w:val="18"/>
          </w:rPr>
          <w:t>Garner, Emily</w:t>
        </w:r>
      </w:sdtContent>
    </w:sdt>
    <w:r w:rsidR="00920029" w:rsidRPr="005879E3">
      <w:rPr>
        <w:rFonts w:cs="Times New Roman"/>
        <w:sz w:val="18"/>
      </w:rPr>
      <w:tab/>
      <w:t xml:space="preserve">Page </w:t>
    </w:r>
    <w:r w:rsidR="00920029" w:rsidRPr="005879E3">
      <w:rPr>
        <w:rFonts w:cs="Times New Roman"/>
        <w:sz w:val="18"/>
      </w:rPr>
      <w:fldChar w:fldCharType="begin"/>
    </w:r>
    <w:r w:rsidR="00920029" w:rsidRPr="005879E3">
      <w:rPr>
        <w:rFonts w:cs="Times New Roman"/>
        <w:sz w:val="18"/>
      </w:rPr>
      <w:instrText xml:space="preserve"> PAGE </w:instrText>
    </w:r>
    <w:r w:rsidR="00920029" w:rsidRPr="005879E3">
      <w:rPr>
        <w:rFonts w:cs="Times New Roman"/>
        <w:sz w:val="18"/>
      </w:rPr>
      <w:fldChar w:fldCharType="separate"/>
    </w:r>
    <w:r>
      <w:rPr>
        <w:rFonts w:cs="Times New Roman"/>
        <w:noProof/>
        <w:sz w:val="18"/>
      </w:rPr>
      <w:t>1</w:t>
    </w:r>
    <w:r w:rsidR="00920029" w:rsidRPr="005879E3">
      <w:rPr>
        <w:rFonts w:cs="Times New Roman"/>
        <w:sz w:val="18"/>
      </w:rPr>
      <w:fldChar w:fldCharType="end"/>
    </w:r>
    <w:r w:rsidR="00920029" w:rsidRPr="005879E3">
      <w:rPr>
        <w:rFonts w:cs="Times New Roman"/>
        <w:sz w:val="18"/>
      </w:rPr>
      <w:tab/>
    </w:r>
    <w:r w:rsidR="00920029" w:rsidRPr="005879E3">
      <w:rPr>
        <w:rFonts w:cs="Times New Roman"/>
        <w:sz w:val="18"/>
      </w:rPr>
      <w:fldChar w:fldCharType="begin"/>
    </w:r>
    <w:r w:rsidR="00920029" w:rsidRPr="005879E3">
      <w:rPr>
        <w:rFonts w:cs="Times New Roman"/>
        <w:sz w:val="18"/>
      </w:rPr>
      <w:instrText xml:space="preserve"> DATE </w:instrText>
    </w:r>
    <w:r w:rsidR="00920029" w:rsidRPr="005879E3">
      <w:rPr>
        <w:rFonts w:cs="Times New Roman"/>
        <w:sz w:val="18"/>
      </w:rPr>
      <w:fldChar w:fldCharType="separate"/>
    </w:r>
    <w:r>
      <w:rPr>
        <w:rFonts w:cs="Times New Roman"/>
        <w:noProof/>
        <w:sz w:val="18"/>
      </w:rPr>
      <w:t>24/04/2023</w:t>
    </w:r>
    <w:r w:rsidR="00920029" w:rsidRPr="005879E3">
      <w:rPr>
        <w:rFonts w:cs="Times New Roman"/>
        <w:sz w:val="18"/>
      </w:rPr>
      <w:fldChar w:fldCharType="end"/>
    </w:r>
  </w:p>
  <w:p w:rsidR="00920029" w:rsidRPr="00410AAF" w:rsidRDefault="00920029" w:rsidP="00410AAF">
    <w:pPr>
      <w:pStyle w:val="Footer"/>
      <w:tabs>
        <w:tab w:val="clear" w:pos="4153"/>
        <w:tab w:val="clear" w:pos="8306"/>
        <w:tab w:val="center" w:pos="5112"/>
        <w:tab w:val="right" w:pos="9524"/>
      </w:tabs>
      <w:jc w:val="right"/>
      <w:rPr>
        <w:sz w:val="16"/>
      </w:rPr>
    </w:pPr>
    <w:r>
      <w:rPr>
        <w:sz w:val="16"/>
      </w:rPr>
      <w:t>Version</w:t>
    </w:r>
    <w:r w:rsidRPr="00BA1200">
      <w:rPr>
        <w:sz w:val="16"/>
      </w:rPr>
      <w:t xml:space="preserve"> number </w:t>
    </w:r>
    <w:r w:rsidRPr="00BA1200">
      <w:rPr>
        <w:sz w:val="16"/>
      </w:rPr>
      <w:fldChar w:fldCharType="begin"/>
    </w:r>
    <w:r w:rsidRPr="00BA1200">
      <w:rPr>
        <w:sz w:val="16"/>
      </w:rPr>
      <w:instrText xml:space="preserve"> REVNUM  \* MERGEFORMAT </w:instrText>
    </w:r>
    <w:r w:rsidRPr="00BA1200">
      <w:rPr>
        <w:sz w:val="16"/>
      </w:rPr>
      <w:fldChar w:fldCharType="separate"/>
    </w:r>
    <w:r w:rsidR="00E657E7">
      <w:rPr>
        <w:noProof/>
        <w:sz w:val="16"/>
      </w:rPr>
      <w:t>1</w:t>
    </w:r>
    <w:r w:rsidRPr="00BA120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FD" w:rsidRDefault="008269FD" w:rsidP="00B416CE">
      <w:pPr>
        <w:pStyle w:val="Footer"/>
      </w:pPr>
      <w:r>
        <w:separator/>
      </w:r>
    </w:p>
  </w:footnote>
  <w:footnote w:type="continuationSeparator" w:id="0">
    <w:p w:rsidR="008269FD" w:rsidRDefault="008269FD" w:rsidP="00B416C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60" w:rsidRPr="00CC2660" w:rsidRDefault="00CC2660" w:rsidP="00CC2660">
    <w:pPr>
      <w:pStyle w:val="Header"/>
    </w:pPr>
    <w:r>
      <w:rPr>
        <w:noProof/>
      </w:rPr>
      <w:drawing>
        <wp:inline distT="0" distB="0" distL="0" distR="0" wp14:anchorId="45CBBB9F" wp14:editId="326A0440">
          <wp:extent cx="2404800" cy="759600"/>
          <wp:effectExtent l="0" t="0" r="0" b="0"/>
          <wp:docPr id="1" name="Picture 1"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FD"/>
    <w:rsid w:val="000103DE"/>
    <w:rsid w:val="000236F7"/>
    <w:rsid w:val="000314E6"/>
    <w:rsid w:val="00043F2B"/>
    <w:rsid w:val="00045A1C"/>
    <w:rsid w:val="0006316C"/>
    <w:rsid w:val="0006355A"/>
    <w:rsid w:val="00076FCB"/>
    <w:rsid w:val="000A0B31"/>
    <w:rsid w:val="000A4498"/>
    <w:rsid w:val="000B2506"/>
    <w:rsid w:val="000B7F63"/>
    <w:rsid w:val="000C5FE3"/>
    <w:rsid w:val="000D1A11"/>
    <w:rsid w:val="000D71D8"/>
    <w:rsid w:val="000F3903"/>
    <w:rsid w:val="001109BB"/>
    <w:rsid w:val="001113A3"/>
    <w:rsid w:val="001154CC"/>
    <w:rsid w:val="00122105"/>
    <w:rsid w:val="0014148F"/>
    <w:rsid w:val="001679DD"/>
    <w:rsid w:val="00180E1E"/>
    <w:rsid w:val="001A4625"/>
    <w:rsid w:val="001C55CD"/>
    <w:rsid w:val="001D15A9"/>
    <w:rsid w:val="001D2CD3"/>
    <w:rsid w:val="001D3FCC"/>
    <w:rsid w:val="001E49F9"/>
    <w:rsid w:val="001E7A22"/>
    <w:rsid w:val="001F5124"/>
    <w:rsid w:val="00210CE1"/>
    <w:rsid w:val="002130E8"/>
    <w:rsid w:val="0022356A"/>
    <w:rsid w:val="00233FCA"/>
    <w:rsid w:val="002369FD"/>
    <w:rsid w:val="00237846"/>
    <w:rsid w:val="002401C0"/>
    <w:rsid w:val="002605B6"/>
    <w:rsid w:val="00283FB7"/>
    <w:rsid w:val="002A0804"/>
    <w:rsid w:val="002C2232"/>
    <w:rsid w:val="002D3E4A"/>
    <w:rsid w:val="002D66EE"/>
    <w:rsid w:val="002F13DA"/>
    <w:rsid w:val="0031360A"/>
    <w:rsid w:val="00317775"/>
    <w:rsid w:val="00317AEB"/>
    <w:rsid w:val="00350804"/>
    <w:rsid w:val="003576D3"/>
    <w:rsid w:val="0036705D"/>
    <w:rsid w:val="003840B2"/>
    <w:rsid w:val="003A2E02"/>
    <w:rsid w:val="003A5BCA"/>
    <w:rsid w:val="003C0D36"/>
    <w:rsid w:val="003C6A08"/>
    <w:rsid w:val="00410067"/>
    <w:rsid w:val="00410AAF"/>
    <w:rsid w:val="00413C0A"/>
    <w:rsid w:val="0042460C"/>
    <w:rsid w:val="00430F63"/>
    <w:rsid w:val="00441ED3"/>
    <w:rsid w:val="0044319A"/>
    <w:rsid w:val="00456173"/>
    <w:rsid w:val="004810A5"/>
    <w:rsid w:val="004923AC"/>
    <w:rsid w:val="004E667E"/>
    <w:rsid w:val="004E6C15"/>
    <w:rsid w:val="004F390E"/>
    <w:rsid w:val="00501798"/>
    <w:rsid w:val="00507BF7"/>
    <w:rsid w:val="00510C33"/>
    <w:rsid w:val="0051388F"/>
    <w:rsid w:val="00514B34"/>
    <w:rsid w:val="00520B47"/>
    <w:rsid w:val="005326E1"/>
    <w:rsid w:val="005452DA"/>
    <w:rsid w:val="00566D4E"/>
    <w:rsid w:val="005879E3"/>
    <w:rsid w:val="005A7AF5"/>
    <w:rsid w:val="005E310F"/>
    <w:rsid w:val="00603DBB"/>
    <w:rsid w:val="00630767"/>
    <w:rsid w:val="00646B73"/>
    <w:rsid w:val="0065539C"/>
    <w:rsid w:val="00663188"/>
    <w:rsid w:val="00673AA6"/>
    <w:rsid w:val="00680945"/>
    <w:rsid w:val="00687CF5"/>
    <w:rsid w:val="00692F9D"/>
    <w:rsid w:val="006B2090"/>
    <w:rsid w:val="006B3A7E"/>
    <w:rsid w:val="006C1B85"/>
    <w:rsid w:val="006C760E"/>
    <w:rsid w:val="006E09E9"/>
    <w:rsid w:val="007050E7"/>
    <w:rsid w:val="00710EBB"/>
    <w:rsid w:val="00713472"/>
    <w:rsid w:val="0072078B"/>
    <w:rsid w:val="007238A0"/>
    <w:rsid w:val="00726545"/>
    <w:rsid w:val="00730258"/>
    <w:rsid w:val="00746371"/>
    <w:rsid w:val="00754BB4"/>
    <w:rsid w:val="00765BB7"/>
    <w:rsid w:val="00785321"/>
    <w:rsid w:val="00792C6A"/>
    <w:rsid w:val="007B0874"/>
    <w:rsid w:val="007B44BB"/>
    <w:rsid w:val="007D5C0C"/>
    <w:rsid w:val="007E6D3E"/>
    <w:rsid w:val="007F1792"/>
    <w:rsid w:val="00810745"/>
    <w:rsid w:val="00810FCE"/>
    <w:rsid w:val="0081477B"/>
    <w:rsid w:val="00815369"/>
    <w:rsid w:val="008269FD"/>
    <w:rsid w:val="0082774B"/>
    <w:rsid w:val="00846EF3"/>
    <w:rsid w:val="00853E5F"/>
    <w:rsid w:val="008540EE"/>
    <w:rsid w:val="00860980"/>
    <w:rsid w:val="00867977"/>
    <w:rsid w:val="00876724"/>
    <w:rsid w:val="008B4500"/>
    <w:rsid w:val="008D30D1"/>
    <w:rsid w:val="008D3F4E"/>
    <w:rsid w:val="008D5419"/>
    <w:rsid w:val="008E1561"/>
    <w:rsid w:val="008E1798"/>
    <w:rsid w:val="008E52AF"/>
    <w:rsid w:val="008E6F46"/>
    <w:rsid w:val="008F0863"/>
    <w:rsid w:val="009138FC"/>
    <w:rsid w:val="00920029"/>
    <w:rsid w:val="00920EFE"/>
    <w:rsid w:val="00933AC2"/>
    <w:rsid w:val="009651BE"/>
    <w:rsid w:val="00975F07"/>
    <w:rsid w:val="00981A0F"/>
    <w:rsid w:val="009C6D00"/>
    <w:rsid w:val="009F20B8"/>
    <w:rsid w:val="00A01CC2"/>
    <w:rsid w:val="00A03130"/>
    <w:rsid w:val="00A27F7C"/>
    <w:rsid w:val="00A3463B"/>
    <w:rsid w:val="00A47880"/>
    <w:rsid w:val="00A52F21"/>
    <w:rsid w:val="00A60430"/>
    <w:rsid w:val="00A631A1"/>
    <w:rsid w:val="00A701AA"/>
    <w:rsid w:val="00A72E9C"/>
    <w:rsid w:val="00A74BC0"/>
    <w:rsid w:val="00A74EA8"/>
    <w:rsid w:val="00A833C4"/>
    <w:rsid w:val="00A84C35"/>
    <w:rsid w:val="00A91F90"/>
    <w:rsid w:val="00AA17BE"/>
    <w:rsid w:val="00AA37B8"/>
    <w:rsid w:val="00AA6453"/>
    <w:rsid w:val="00AA7830"/>
    <w:rsid w:val="00AB088A"/>
    <w:rsid w:val="00AC1B21"/>
    <w:rsid w:val="00AD3B13"/>
    <w:rsid w:val="00AF086F"/>
    <w:rsid w:val="00B416CE"/>
    <w:rsid w:val="00B44232"/>
    <w:rsid w:val="00B476DE"/>
    <w:rsid w:val="00B5319D"/>
    <w:rsid w:val="00B6681E"/>
    <w:rsid w:val="00B82610"/>
    <w:rsid w:val="00B836D4"/>
    <w:rsid w:val="00B878E2"/>
    <w:rsid w:val="00B9498B"/>
    <w:rsid w:val="00BA1200"/>
    <w:rsid w:val="00BA2A4C"/>
    <w:rsid w:val="00BB6A3F"/>
    <w:rsid w:val="00BC1CC1"/>
    <w:rsid w:val="00BD39FD"/>
    <w:rsid w:val="00BD513B"/>
    <w:rsid w:val="00BE3BFD"/>
    <w:rsid w:val="00BE590A"/>
    <w:rsid w:val="00BE66C2"/>
    <w:rsid w:val="00BE7E88"/>
    <w:rsid w:val="00BF1D3C"/>
    <w:rsid w:val="00C06CD0"/>
    <w:rsid w:val="00C154B7"/>
    <w:rsid w:val="00C16128"/>
    <w:rsid w:val="00C20E7E"/>
    <w:rsid w:val="00C2280C"/>
    <w:rsid w:val="00C2488D"/>
    <w:rsid w:val="00C40093"/>
    <w:rsid w:val="00C472C3"/>
    <w:rsid w:val="00C50B8A"/>
    <w:rsid w:val="00C51ADF"/>
    <w:rsid w:val="00C52196"/>
    <w:rsid w:val="00C6399E"/>
    <w:rsid w:val="00C73A7D"/>
    <w:rsid w:val="00C76BDD"/>
    <w:rsid w:val="00C82F7E"/>
    <w:rsid w:val="00C86D55"/>
    <w:rsid w:val="00CB24CC"/>
    <w:rsid w:val="00CC2660"/>
    <w:rsid w:val="00CC5E51"/>
    <w:rsid w:val="00CD71F6"/>
    <w:rsid w:val="00CD76E2"/>
    <w:rsid w:val="00CE331C"/>
    <w:rsid w:val="00CE3471"/>
    <w:rsid w:val="00CF3541"/>
    <w:rsid w:val="00CF3DC7"/>
    <w:rsid w:val="00CF5EFB"/>
    <w:rsid w:val="00CF7091"/>
    <w:rsid w:val="00CF77BA"/>
    <w:rsid w:val="00D00260"/>
    <w:rsid w:val="00D00966"/>
    <w:rsid w:val="00D0498E"/>
    <w:rsid w:val="00D26F27"/>
    <w:rsid w:val="00D33224"/>
    <w:rsid w:val="00D435F1"/>
    <w:rsid w:val="00D62998"/>
    <w:rsid w:val="00D63712"/>
    <w:rsid w:val="00D71BF6"/>
    <w:rsid w:val="00D73027"/>
    <w:rsid w:val="00D8062C"/>
    <w:rsid w:val="00D8181C"/>
    <w:rsid w:val="00D931A5"/>
    <w:rsid w:val="00D9498A"/>
    <w:rsid w:val="00D95166"/>
    <w:rsid w:val="00DB04F2"/>
    <w:rsid w:val="00DE7ED4"/>
    <w:rsid w:val="00DF2EBA"/>
    <w:rsid w:val="00DF56FF"/>
    <w:rsid w:val="00E05B84"/>
    <w:rsid w:val="00E3107D"/>
    <w:rsid w:val="00E33C73"/>
    <w:rsid w:val="00E3440F"/>
    <w:rsid w:val="00E35246"/>
    <w:rsid w:val="00E36EC0"/>
    <w:rsid w:val="00E5563D"/>
    <w:rsid w:val="00E56099"/>
    <w:rsid w:val="00E657E7"/>
    <w:rsid w:val="00E82CB0"/>
    <w:rsid w:val="00E82EE2"/>
    <w:rsid w:val="00E8370B"/>
    <w:rsid w:val="00EA5BE2"/>
    <w:rsid w:val="00EB7FCB"/>
    <w:rsid w:val="00EE6725"/>
    <w:rsid w:val="00EF3E00"/>
    <w:rsid w:val="00F01699"/>
    <w:rsid w:val="00F12267"/>
    <w:rsid w:val="00F233D7"/>
    <w:rsid w:val="00F32389"/>
    <w:rsid w:val="00F43151"/>
    <w:rsid w:val="00F5541A"/>
    <w:rsid w:val="00F60B07"/>
    <w:rsid w:val="00FA4655"/>
    <w:rsid w:val="00FC4473"/>
    <w:rsid w:val="00FE2F55"/>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0A79BA57-997B-40C8-AAFF-3D2F1FA3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8269FD"/>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 HC"/>
    <w:basedOn w:val="Normal"/>
    <w:next w:val="Normal"/>
    <w:link w:val="Heading1Char"/>
    <w:uiPriority w:val="9"/>
    <w:qFormat/>
    <w:rsid w:val="00EA5BE2"/>
    <w:pPr>
      <w:keepNext/>
      <w:spacing w:before="240" w:after="60" w:line="240" w:lineRule="auto"/>
      <w:outlineLvl w:val="0"/>
    </w:pPr>
    <w:rPr>
      <w:rFonts w:ascii="Arial" w:eastAsia="Times New Roman" w:hAnsi="Arial" w:cs="Arial"/>
      <w:b/>
      <w:kern w:val="28"/>
      <w:sz w:val="52"/>
      <w:szCs w:val="20"/>
      <w:lang w:eastAsia="en-GB"/>
    </w:rPr>
  </w:style>
  <w:style w:type="paragraph" w:styleId="Heading2">
    <w:name w:val="heading 2"/>
    <w:basedOn w:val="Normal"/>
    <w:next w:val="Normal"/>
    <w:link w:val="Heading2Char"/>
    <w:uiPriority w:val="9"/>
    <w:unhideWhenUsed/>
    <w:qFormat/>
    <w:rsid w:val="008269FD"/>
    <w:pPr>
      <w:keepNext/>
      <w:keepLines/>
      <w:spacing w:before="280" w:after="240"/>
      <w:outlineLvl w:val="1"/>
    </w:pPr>
    <w:rPr>
      <w:rFonts w:ascii="Calibri" w:eastAsiaTheme="majorEastAsia" w:hAnsi="Calibri" w:cstheme="majorBidi"/>
      <w:b/>
      <w:color w:val="002060"/>
      <w:sz w:val="32"/>
      <w:szCs w:val="26"/>
    </w:rPr>
  </w:style>
  <w:style w:type="paragraph" w:styleId="Heading3">
    <w:name w:val="heading 3"/>
    <w:basedOn w:val="Normal"/>
    <w:next w:val="Normal"/>
    <w:link w:val="Heading3Char"/>
    <w:unhideWhenUsed/>
    <w:qFormat/>
    <w:rsid w:val="006C1B85"/>
    <w:pPr>
      <w:keepNext/>
      <w:keepLines/>
      <w:spacing w:before="200" w:after="0" w:line="240" w:lineRule="auto"/>
      <w:outlineLvl w:val="2"/>
    </w:pPr>
    <w:rPr>
      <w:rFonts w:asciiTheme="majorHAnsi" w:eastAsiaTheme="majorEastAsia" w:hAnsiTheme="majorHAnsi" w:cstheme="majorBidi"/>
      <w:b/>
      <w:bCs/>
      <w:color w:val="392E2C" w:themeColor="accent1"/>
      <w:szCs w:val="20"/>
      <w:lang w:eastAsia="en-GB"/>
    </w:rPr>
  </w:style>
  <w:style w:type="paragraph" w:styleId="Heading7">
    <w:name w:val="heading 7"/>
    <w:basedOn w:val="Normal"/>
    <w:next w:val="Normal"/>
    <w:link w:val="Heading7Char"/>
    <w:unhideWhenUsed/>
    <w:qFormat/>
    <w:rsid w:val="006C1B85"/>
    <w:pPr>
      <w:keepNext/>
      <w:keepLines/>
      <w:spacing w:before="200" w:after="0" w:line="240" w:lineRule="auto"/>
      <w:outlineLvl w:val="6"/>
    </w:pPr>
    <w:rPr>
      <w:rFonts w:asciiTheme="majorHAnsi" w:eastAsiaTheme="majorEastAsia" w:hAnsiTheme="majorHAnsi" w:cstheme="majorBidi"/>
      <w:i/>
      <w:iCs/>
      <w:color w:val="725C58" w:themeColor="text1" w:themeTint="BF"/>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spacing w:after="0" w:line="240" w:lineRule="auto"/>
      <w:ind w:left="220"/>
    </w:pPr>
    <w:rPr>
      <w:rFonts w:ascii="Arial" w:eastAsia="Times New Roman" w:hAnsi="Arial" w:cs="Arial"/>
      <w:szCs w:val="20"/>
      <w:lang w:eastAsia="en-GB"/>
    </w:rPr>
  </w:style>
  <w:style w:type="paragraph" w:styleId="TOC1">
    <w:name w:val="toc 1"/>
    <w:basedOn w:val="Normal"/>
    <w:next w:val="Normal"/>
    <w:autoRedefine/>
    <w:uiPriority w:val="39"/>
    <w:unhideWhenUsed/>
    <w:rsid w:val="00EA5BE2"/>
    <w:pPr>
      <w:spacing w:after="100" w:line="240" w:lineRule="auto"/>
    </w:pPr>
    <w:rPr>
      <w:rFonts w:ascii="Arial" w:eastAsia="Times New Roman" w:hAnsi="Arial" w:cs="Arial"/>
      <w:szCs w:val="20"/>
      <w:lang w:eastAsia="en-GB"/>
    </w:rPr>
  </w:style>
  <w:style w:type="paragraph" w:styleId="BalloonText">
    <w:name w:val="Balloon Text"/>
    <w:basedOn w:val="Normal"/>
    <w:link w:val="BalloonTextChar"/>
    <w:semiHidden/>
    <w:unhideWhenUsed/>
    <w:rsid w:val="00410AAF"/>
    <w:pPr>
      <w:spacing w:after="0" w:line="240" w:lineRule="auto"/>
    </w:pPr>
    <w:rPr>
      <w:rFonts w:ascii="Lucida Grande" w:eastAsia="Times New Roman" w:hAnsi="Lucida Grande" w:cs="Lucida Grande"/>
      <w:sz w:val="18"/>
      <w:szCs w:val="18"/>
      <w:lang w:eastAsia="en-GB"/>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spacing w:after="0" w:line="240" w:lineRule="auto"/>
    </w:pPr>
    <w:rPr>
      <w:rFonts w:ascii="Arial" w:eastAsia="Times New Roman" w:hAnsi="Arial" w:cs="Arial"/>
      <w:szCs w:val="20"/>
      <w:lang w:eastAsia="en-GB"/>
    </w:rPr>
  </w:style>
  <w:style w:type="paragraph" w:styleId="Footer">
    <w:name w:val="footer"/>
    <w:aliases w:val="Footer_HC"/>
    <w:basedOn w:val="Normal"/>
    <w:link w:val="FooterChar"/>
    <w:autoRedefine/>
    <w:qFormat/>
    <w:pPr>
      <w:tabs>
        <w:tab w:val="center" w:pos="4153"/>
        <w:tab w:val="right" w:pos="8306"/>
      </w:tabs>
      <w:spacing w:after="0" w:line="240" w:lineRule="auto"/>
    </w:pPr>
    <w:rPr>
      <w:rFonts w:ascii="Arial" w:eastAsia="Times New Roman" w:hAnsi="Arial" w:cs="Arial"/>
      <w:szCs w:val="20"/>
      <w:lang w:eastAsia="en-GB"/>
    </w:rPr>
  </w:style>
  <w:style w:type="character" w:customStyle="1" w:styleId="FooterChar">
    <w:name w:val="Footer Char"/>
    <w:aliases w:val="Footer_HC Char"/>
    <w:basedOn w:val="DefaultParagraphFont"/>
    <w:link w:val="Footer"/>
    <w:rsid w:val="007D5C0C"/>
    <w:rPr>
      <w:rFonts w:ascii="Arial" w:hAnsi="Arial" w:cs="Arial"/>
      <w:sz w:val="24"/>
    </w:rPr>
  </w:style>
  <w:style w:type="paragraph" w:customStyle="1" w:styleId="Footer6pt">
    <w:name w:val="Footer6pt"/>
    <w:basedOn w:val="Normal"/>
    <w:link w:val="Footer6ptChar"/>
    <w:rsid w:val="005452DA"/>
    <w:pPr>
      <w:spacing w:after="0" w:line="240" w:lineRule="auto"/>
    </w:pPr>
    <w:rPr>
      <w:rFonts w:ascii="Arial" w:eastAsia="Times New Roman" w:hAnsi="Arial" w:cs="Arial"/>
      <w:sz w:val="12"/>
      <w:szCs w:val="20"/>
      <w:lang w:eastAsia="en-GB"/>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spacing w:after="0" w:line="240" w:lineRule="auto"/>
      <w:jc w:val="center"/>
    </w:pPr>
    <w:rPr>
      <w:rFonts w:ascii="Arial" w:eastAsia="Times New Roman" w:hAnsi="Arial" w:cs="Arial"/>
      <w:sz w:val="20"/>
      <w:szCs w:val="20"/>
      <w:lang w:eastAsia="en-GB"/>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pPr>
      <w:spacing w:after="0" w:line="240" w:lineRule="auto"/>
    </w:pPr>
    <w:rPr>
      <w:rFonts w:ascii="Arial" w:eastAsia="Times New Roman" w:hAnsi="Arial" w:cs="Arial"/>
      <w:szCs w:val="20"/>
      <w:lang w:eastAsia="en-GB"/>
    </w:rPr>
  </w:style>
  <w:style w:type="paragraph" w:customStyle="1" w:styleId="ParagraphHeadingHC">
    <w:name w:val="Paragraph Heading HC"/>
    <w:basedOn w:val="Normal"/>
    <w:autoRedefine/>
    <w:qFormat/>
    <w:rsid w:val="001D2CD3"/>
    <w:pPr>
      <w:spacing w:before="240" w:after="0" w:line="240" w:lineRule="auto"/>
    </w:pPr>
    <w:rPr>
      <w:rFonts w:ascii="Arial" w:eastAsia="Times New Roman" w:hAnsi="Arial" w:cs="Arial"/>
      <w:b/>
      <w:szCs w:val="20"/>
      <w:lang w:eastAsia="en-GB"/>
    </w:rPr>
  </w:style>
  <w:style w:type="paragraph" w:customStyle="1" w:styleId="BulletHC">
    <w:name w:val="Bullet HC"/>
    <w:basedOn w:val="Normal"/>
    <w:next w:val="ListBullet"/>
    <w:qFormat/>
    <w:rsid w:val="006C1B85"/>
    <w:pPr>
      <w:numPr>
        <w:numId w:val="12"/>
      </w:numPr>
      <w:spacing w:after="0" w:line="240" w:lineRule="auto"/>
    </w:pPr>
    <w:rPr>
      <w:rFonts w:ascii="Arial" w:eastAsia="Times New Roman" w:hAnsi="Arial" w:cs="Arial"/>
      <w:szCs w:val="20"/>
      <w:lang w:eastAsia="en-GB"/>
    </w:rPr>
  </w:style>
  <w:style w:type="paragraph" w:styleId="List2">
    <w:name w:val="List 2"/>
    <w:aliases w:val="List 2 HC"/>
    <w:basedOn w:val="Normal"/>
    <w:next w:val="ListBullet"/>
    <w:autoRedefine/>
    <w:qFormat/>
    <w:rsid w:val="006C1B85"/>
    <w:pPr>
      <w:numPr>
        <w:numId w:val="13"/>
      </w:numPr>
      <w:spacing w:after="0" w:line="240" w:lineRule="auto"/>
      <w:ind w:left="1134" w:hanging="397"/>
      <w:contextualSpacing/>
    </w:pPr>
    <w:rPr>
      <w:rFonts w:ascii="Arial" w:eastAsia="Times New Roman" w:hAnsi="Arial" w:cs="Arial"/>
      <w:lang w:eastAsia="en-GB"/>
    </w:rPr>
  </w:style>
  <w:style w:type="paragraph" w:styleId="ListBullet">
    <w:name w:val="List Bullet"/>
    <w:aliases w:val="List Bullet HC"/>
    <w:basedOn w:val="Normal"/>
    <w:autoRedefine/>
    <w:unhideWhenUsed/>
    <w:qFormat/>
    <w:rsid w:val="006C1B85"/>
    <w:pPr>
      <w:numPr>
        <w:numId w:val="9"/>
      </w:numPr>
      <w:spacing w:after="0" w:line="240" w:lineRule="auto"/>
      <w:contextualSpacing/>
    </w:pPr>
    <w:rPr>
      <w:rFonts w:ascii="Arial" w:eastAsia="Times New Roman" w:hAnsi="Arial" w:cs="Arial"/>
      <w:szCs w:val="20"/>
      <w:lang w:eastAsia="en-GB"/>
    </w:rPr>
  </w:style>
  <w:style w:type="paragraph" w:styleId="HTMLAddress">
    <w:name w:val="HTML Address"/>
    <w:aliases w:val="HTML Address HC"/>
    <w:basedOn w:val="Normal"/>
    <w:link w:val="HTMLAddressChar"/>
    <w:autoRedefine/>
    <w:unhideWhenUsed/>
    <w:qFormat/>
    <w:rsid w:val="0022356A"/>
    <w:pPr>
      <w:spacing w:after="0" w:line="240" w:lineRule="auto"/>
    </w:pPr>
    <w:rPr>
      <w:rFonts w:ascii="Arial" w:eastAsia="Times New Roman" w:hAnsi="Arial" w:cs="Arial"/>
      <w:color w:val="0000FF"/>
      <w:u w:val="single"/>
      <w:lang w:eastAsia="en-GB"/>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pPr>
      <w:spacing w:after="0" w:line="240" w:lineRule="auto"/>
    </w:pPr>
    <w:rPr>
      <w:rFonts w:ascii="Courier" w:eastAsia="Times New Roman" w:hAnsi="Courier" w:cs="Arial"/>
      <w:sz w:val="20"/>
      <w:szCs w:val="20"/>
      <w:lang w:eastAsia="en-GB"/>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iPriority w:val="99"/>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spacing w:after="0" w:line="240" w:lineRule="auto"/>
      <w:ind w:left="440"/>
    </w:pPr>
    <w:rPr>
      <w:rFonts w:ascii="Arial" w:eastAsia="Times New Roman" w:hAnsi="Arial" w:cs="Arial"/>
      <w:szCs w:val="20"/>
      <w:lang w:eastAsia="en-GB"/>
    </w:rPr>
  </w:style>
  <w:style w:type="paragraph" w:styleId="TOC4">
    <w:name w:val="toc 4"/>
    <w:basedOn w:val="Normal"/>
    <w:next w:val="Normal"/>
    <w:autoRedefine/>
    <w:unhideWhenUsed/>
    <w:rsid w:val="00EA5BE2"/>
    <w:pPr>
      <w:spacing w:after="0" w:line="240" w:lineRule="auto"/>
      <w:ind w:left="660"/>
    </w:pPr>
    <w:rPr>
      <w:rFonts w:ascii="Arial" w:eastAsia="Times New Roman" w:hAnsi="Arial" w:cs="Arial"/>
      <w:szCs w:val="20"/>
      <w:lang w:eastAsia="en-GB"/>
    </w:rPr>
  </w:style>
  <w:style w:type="paragraph" w:styleId="TOC5">
    <w:name w:val="toc 5"/>
    <w:basedOn w:val="Normal"/>
    <w:next w:val="Normal"/>
    <w:autoRedefine/>
    <w:unhideWhenUsed/>
    <w:rsid w:val="00EA5BE2"/>
    <w:pPr>
      <w:spacing w:after="0" w:line="240" w:lineRule="auto"/>
      <w:ind w:left="880"/>
    </w:pPr>
    <w:rPr>
      <w:rFonts w:ascii="Arial" w:eastAsia="Times New Roman" w:hAnsi="Arial" w:cs="Arial"/>
      <w:szCs w:val="20"/>
      <w:lang w:eastAsia="en-GB"/>
    </w:rPr>
  </w:style>
  <w:style w:type="paragraph" w:styleId="TOC6">
    <w:name w:val="toc 6"/>
    <w:basedOn w:val="Normal"/>
    <w:next w:val="Normal"/>
    <w:autoRedefine/>
    <w:unhideWhenUsed/>
    <w:rsid w:val="00EA5BE2"/>
    <w:pPr>
      <w:spacing w:after="0" w:line="240" w:lineRule="auto"/>
      <w:ind w:left="1100"/>
    </w:pPr>
    <w:rPr>
      <w:rFonts w:ascii="Arial" w:eastAsia="Times New Roman" w:hAnsi="Arial" w:cs="Arial"/>
      <w:szCs w:val="20"/>
      <w:lang w:eastAsia="en-GB"/>
    </w:rPr>
  </w:style>
  <w:style w:type="paragraph" w:styleId="TOC7">
    <w:name w:val="toc 7"/>
    <w:basedOn w:val="Normal"/>
    <w:next w:val="Normal"/>
    <w:autoRedefine/>
    <w:unhideWhenUsed/>
    <w:rsid w:val="00EA5BE2"/>
    <w:pPr>
      <w:spacing w:after="0" w:line="240" w:lineRule="auto"/>
      <w:ind w:left="1320"/>
    </w:pPr>
    <w:rPr>
      <w:rFonts w:ascii="Arial" w:eastAsia="Times New Roman" w:hAnsi="Arial" w:cs="Arial"/>
      <w:szCs w:val="20"/>
      <w:lang w:eastAsia="en-GB"/>
    </w:rPr>
  </w:style>
  <w:style w:type="paragraph" w:styleId="TOC8">
    <w:name w:val="toc 8"/>
    <w:basedOn w:val="Normal"/>
    <w:next w:val="Normal"/>
    <w:autoRedefine/>
    <w:unhideWhenUsed/>
    <w:rsid w:val="00EA5BE2"/>
    <w:pPr>
      <w:spacing w:after="0" w:line="240" w:lineRule="auto"/>
      <w:ind w:left="1540"/>
    </w:pPr>
    <w:rPr>
      <w:rFonts w:ascii="Arial" w:eastAsia="Times New Roman" w:hAnsi="Arial" w:cs="Arial"/>
      <w:szCs w:val="20"/>
      <w:lang w:eastAsia="en-GB"/>
    </w:rPr>
  </w:style>
  <w:style w:type="paragraph" w:styleId="TOC9">
    <w:name w:val="toc 9"/>
    <w:basedOn w:val="Normal"/>
    <w:next w:val="Normal"/>
    <w:autoRedefine/>
    <w:unhideWhenUsed/>
    <w:rsid w:val="00EA5BE2"/>
    <w:pPr>
      <w:spacing w:after="0" w:line="240" w:lineRule="auto"/>
      <w:ind w:left="1760"/>
    </w:pPr>
    <w:rPr>
      <w:rFonts w:ascii="Arial" w:eastAsia="Times New Roman" w:hAnsi="Arial" w:cs="Arial"/>
      <w:szCs w:val="20"/>
      <w:lang w:eastAsia="en-GB"/>
    </w:rPr>
  </w:style>
  <w:style w:type="paragraph" w:customStyle="1" w:styleId="Heading2HC">
    <w:name w:val="Heading 2 HC"/>
    <w:basedOn w:val="Heading1"/>
    <w:next w:val="Normal"/>
    <w:autoRedefine/>
    <w:qFormat/>
    <w:rsid w:val="00A60430"/>
    <w:rPr>
      <w:sz w:val="4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character" w:customStyle="1" w:styleId="Heading2Char">
    <w:name w:val="Heading 2 Char"/>
    <w:basedOn w:val="DefaultParagraphFont"/>
    <w:link w:val="Heading2"/>
    <w:uiPriority w:val="9"/>
    <w:rsid w:val="008269FD"/>
    <w:rPr>
      <w:rFonts w:ascii="Calibri" w:eastAsiaTheme="majorEastAsia" w:hAnsi="Calibri" w:cstheme="majorBidi"/>
      <w:b/>
      <w:color w:val="002060"/>
      <w:sz w:val="32"/>
      <w:szCs w:val="26"/>
      <w:lang w:eastAsia="en-US"/>
    </w:rPr>
  </w:style>
  <w:style w:type="character" w:customStyle="1" w:styleId="Heading1Char">
    <w:name w:val="Heading 1 Char"/>
    <w:aliases w:val="Heading 1 HC Char"/>
    <w:basedOn w:val="DefaultParagraphFont"/>
    <w:link w:val="Heading1"/>
    <w:uiPriority w:val="9"/>
    <w:rsid w:val="008269FD"/>
    <w:rPr>
      <w:rFonts w:ascii="Arial" w:hAnsi="Arial" w:cs="Arial"/>
      <w:b/>
      <w:kern w:val="28"/>
      <w:sz w:val="52"/>
    </w:rPr>
  </w:style>
  <w:style w:type="table" w:styleId="TableGrid">
    <w:name w:val="Table Grid"/>
    <w:basedOn w:val="TableNormal"/>
    <w:uiPriority w:val="39"/>
    <w:rsid w:val="008269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1149556/Early_education_and_childcare_statutory_guidance_-_April_2023.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3.xml><?xml version="1.0" encoding="utf-8"?>
<ds:datastoreItem xmlns:ds="http://schemas.openxmlformats.org/officeDocument/2006/customXml" ds:itemID="{DDB5D896-EBDF-4E31-BEEE-6A4ECCF1DF73}">
  <ds:schemaRefs>
    <ds:schemaRef ds:uri="http://purl.org/dc/terms/"/>
    <ds:schemaRef ds:uri="http://schemas.microsoft.com/office/2006/documentManagement/types"/>
    <ds:schemaRef ds:uri="http://purl.org/dc/dcmitype/"/>
    <ds:schemaRef ds:uri="cb458052-48cf-4613-af83-9df506ae481f"/>
    <ds:schemaRef ds:uri="http://purl.org/dc/elements/1.1/"/>
    <ds:schemaRef ds:uri="http://schemas.microsoft.com/office/2006/metadata/properties"/>
    <ds:schemaRef ds:uri="58222f46-cdd5-49dc-9cc8-a6db721e7e08"/>
    <ds:schemaRef ds:uri="D87CCC82-C056-4092-9ED9-09B330353CB9"/>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5.xml><?xml version="1.0" encoding="utf-8"?>
<ds:datastoreItem xmlns:ds="http://schemas.openxmlformats.org/officeDocument/2006/customXml" ds:itemID="{7439A139-84EE-4D86-A411-CE3AD571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Withdrawal of NEF sufficiency audit Herefordshire</vt:lpstr>
    </vt:vector>
  </TitlesOfParts>
  <Company>Hoople Ltd</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Withdrawal of NEF sufficiency audit Herefordshire</dc:title>
  <dc:subject/>
  <dc:creator>Garner, Emily</dc:creator>
  <cp:keywords>nursery education funding;NEF;withdrawal</cp:keywords>
  <dc:description/>
  <cp:lastModifiedBy>Walder, Rebecca</cp:lastModifiedBy>
  <cp:revision>4</cp:revision>
  <cp:lastPrinted>2001-11-28T15:12:00Z</cp:lastPrinted>
  <dcterms:created xsi:type="dcterms:W3CDTF">2023-04-14T11:29:00Z</dcterms:created>
  <dcterms:modified xsi:type="dcterms:W3CDTF">2023-04-24T08:00:00Z</dcterms:modified>
</cp:coreProperties>
</file>