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84E41" w:rsidRPr="006C7D66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6C7D66" w:rsidRDefault="00E84E41" w:rsidP="006C7D66">
            <w:pPr>
              <w:pStyle w:val="TableText"/>
            </w:pPr>
            <w:bookmarkStart w:id="0" w:name="_GoBack"/>
            <w:bookmarkEnd w:id="0"/>
            <w:r w:rsidRPr="006C7D66"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5EF63B1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E84E41" w:rsidRPr="006C7D66" w:rsidRDefault="008A76F1" w:rsidP="006C7D66">
            <w:pPr>
              <w:pStyle w:val="TableText"/>
            </w:pPr>
            <w:r w:rsidRPr="006C7D66">
              <w:t>Activity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49550D90" w14:textId="462912C6" w:rsidR="00E84E41" w:rsidRPr="006C7D66" w:rsidRDefault="00714F25" w:rsidP="00714F25">
            <w:pPr>
              <w:pStyle w:val="TableText"/>
            </w:pPr>
            <w:r>
              <w:t>Safe use of DT spaces – This is an overarching risk assessment. Any high risk equipment or tool should have a dedicated risk assessment for use. Workshops should comply with CLEAPSS document G79, G79A &amp; G79B</w:t>
            </w:r>
          </w:p>
        </w:tc>
      </w:tr>
      <w:tr w:rsidR="00E84E41" w:rsidRPr="006C7D66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E84E41" w:rsidRPr="006C7D66" w:rsidRDefault="008A76F1" w:rsidP="006C7D66">
            <w:pPr>
              <w:pStyle w:val="TableText"/>
            </w:pPr>
            <w:r w:rsidRPr="006C7D66">
              <w:t>Completed by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30DE1141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E84E41" w:rsidRPr="006C7D66" w:rsidRDefault="00E84E41" w:rsidP="006C7D66">
            <w:pPr>
              <w:pStyle w:val="TableTextCentreAligned"/>
            </w:pPr>
            <w:r w:rsidRPr="006C7D66">
              <w:t>Hazards</w:t>
            </w:r>
          </w:p>
        </w:tc>
        <w:tc>
          <w:tcPr>
            <w:tcW w:w="1134" w:type="dxa"/>
            <w:vAlign w:val="center"/>
          </w:tcPr>
          <w:p w14:paraId="49C25D39" w14:textId="77777777" w:rsidR="00E84E41" w:rsidRPr="006C7D66" w:rsidRDefault="00E84E41" w:rsidP="006C7D66">
            <w:pPr>
              <w:pStyle w:val="TableTextCentreAligned"/>
            </w:pPr>
            <w:r w:rsidRPr="006C7D66">
              <w:t>Who is at risk?</w:t>
            </w:r>
          </w:p>
        </w:tc>
        <w:tc>
          <w:tcPr>
            <w:tcW w:w="5954" w:type="dxa"/>
            <w:vAlign w:val="center"/>
          </w:tcPr>
          <w:p w14:paraId="407F3424" w14:textId="77777777" w:rsidR="00E84E41" w:rsidRPr="006C7D66" w:rsidRDefault="00E84E41" w:rsidP="006C7D66">
            <w:pPr>
              <w:pStyle w:val="TableTextCentreAligned"/>
            </w:pPr>
            <w:r w:rsidRPr="006C7D66">
              <w:t>Current Control Measures</w:t>
            </w:r>
          </w:p>
        </w:tc>
        <w:tc>
          <w:tcPr>
            <w:tcW w:w="5112" w:type="dxa"/>
            <w:vAlign w:val="center"/>
          </w:tcPr>
          <w:p w14:paraId="6B001A26" w14:textId="77777777" w:rsidR="00E84E41" w:rsidRPr="006C7D66" w:rsidRDefault="00E84E41" w:rsidP="006C7D66">
            <w:pPr>
              <w:pStyle w:val="TableTextCentreAligned"/>
            </w:pPr>
            <w:r w:rsidRPr="006C7D66"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E84E41" w:rsidRPr="006C7D66" w:rsidRDefault="00E84E41" w:rsidP="006C7D66">
            <w:pPr>
              <w:pStyle w:val="TableTextCentreAligned"/>
            </w:pPr>
            <w:r w:rsidRPr="006C7D66">
              <w:t>Timescale</w:t>
            </w:r>
          </w:p>
        </w:tc>
      </w:tr>
      <w:tr w:rsidR="00B02FD1" w:rsidRPr="006C7D66" w14:paraId="104FFF03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15B916DB" w:rsidR="00B02FD1" w:rsidRPr="006C7D66" w:rsidRDefault="00F57621" w:rsidP="00F57621">
            <w:pPr>
              <w:pStyle w:val="TableText"/>
            </w:pPr>
            <w:r>
              <w:t>Lack of supervision, inexperience of pupils leading to accidents.</w:t>
            </w:r>
          </w:p>
        </w:tc>
        <w:tc>
          <w:tcPr>
            <w:tcW w:w="1134" w:type="dxa"/>
            <w:vAlign w:val="center"/>
          </w:tcPr>
          <w:p w14:paraId="3D077EEF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4B243924" w14:textId="05BE461F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67ECA7F3" w14:textId="6EB2A3E1" w:rsidR="00B02FD1" w:rsidRPr="004E69FC" w:rsidRDefault="00B02FD1" w:rsidP="00B02FD1">
            <w:pPr>
              <w:pStyle w:val="TableText"/>
            </w:pPr>
            <w:r w:rsidRPr="004E69FC">
              <w:t>Group sizes appr</w:t>
            </w:r>
            <w:r>
              <w:t xml:space="preserve">opriate for the room size, pupil-to-staff ratios, </w:t>
            </w:r>
            <w:r w:rsidRPr="004E69FC">
              <w:t xml:space="preserve">nature of the activity, pupil age and ability. </w:t>
            </w:r>
          </w:p>
          <w:p w14:paraId="7CF400A5" w14:textId="77777777" w:rsidR="00B02FD1" w:rsidRPr="004E69FC" w:rsidRDefault="00B02FD1" w:rsidP="00B02FD1">
            <w:pPr>
              <w:pStyle w:val="TableText"/>
            </w:pPr>
            <w:r w:rsidRPr="004E69FC">
              <w:t>Behavioural expectations explained to pupils prior to activity.</w:t>
            </w:r>
          </w:p>
          <w:p w14:paraId="37C9C54F" w14:textId="77777777" w:rsidR="00B02FD1" w:rsidRPr="004E69FC" w:rsidRDefault="00B02FD1" w:rsidP="00B02FD1">
            <w:pPr>
              <w:pStyle w:val="TableText"/>
            </w:pPr>
            <w:r w:rsidRPr="004E69FC">
              <w:t>Risks explained to pupils prior to activity.</w:t>
            </w:r>
          </w:p>
          <w:p w14:paraId="52A33BD8" w14:textId="77777777" w:rsidR="00B02FD1" w:rsidRDefault="00B02FD1" w:rsidP="00B02FD1">
            <w:pPr>
              <w:pStyle w:val="TableText"/>
            </w:pPr>
            <w:r w:rsidRPr="004E69FC">
              <w:t>Pupils and staff provided with appropriate PPE where necessary (goggles, aprons, gloves, ear defenders etc.)</w:t>
            </w:r>
          </w:p>
          <w:p w14:paraId="47B1029A" w14:textId="5B3BA6A2" w:rsidR="00B02FD1" w:rsidRPr="006C7D66" w:rsidRDefault="00B02FD1" w:rsidP="00B02FD1">
            <w:pPr>
              <w:pStyle w:val="TableText"/>
            </w:pPr>
            <w:r>
              <w:t>A suitable first aid provision is made for all lessons, and first aid kits are stocked appropriately for the hazards.</w:t>
            </w:r>
          </w:p>
        </w:tc>
        <w:tc>
          <w:tcPr>
            <w:tcW w:w="5112" w:type="dxa"/>
            <w:vAlign w:val="center"/>
          </w:tcPr>
          <w:p w14:paraId="6CBDB6B1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4516A1F5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6FC87FF1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0D57D1E4" w:rsidR="00B02FD1" w:rsidRPr="006C7D66" w:rsidRDefault="00B02FD1" w:rsidP="00B02FD1">
            <w:pPr>
              <w:pStyle w:val="TableText"/>
            </w:pPr>
            <w:r>
              <w:rPr>
                <w:rFonts w:cs="Arial"/>
              </w:rPr>
              <w:t>Slips, Trips, Falls</w:t>
            </w:r>
          </w:p>
        </w:tc>
        <w:tc>
          <w:tcPr>
            <w:tcW w:w="1134" w:type="dxa"/>
            <w:vAlign w:val="center"/>
          </w:tcPr>
          <w:p w14:paraId="3829FE8E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0099FD1F" w14:textId="3E1759DD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1A74748A" w14:textId="77777777" w:rsidR="00B02FD1" w:rsidRDefault="00B02FD1" w:rsidP="00B02FD1">
            <w:pPr>
              <w:pStyle w:val="TableText"/>
            </w:pPr>
            <w:r>
              <w:t>Working area kept free of trip hazards such as bags and coats.</w:t>
            </w:r>
          </w:p>
          <w:p w14:paraId="00A783E4" w14:textId="77777777" w:rsidR="00B02FD1" w:rsidRDefault="00B02FD1" w:rsidP="00B02FD1">
            <w:pPr>
              <w:pStyle w:val="TableText"/>
            </w:pPr>
            <w:r>
              <w:t>Spillages are immediately cleaned.</w:t>
            </w:r>
          </w:p>
          <w:p w14:paraId="357B6652" w14:textId="77777777" w:rsidR="00B02FD1" w:rsidRDefault="00B02FD1" w:rsidP="00B02FD1">
            <w:pPr>
              <w:pStyle w:val="TableText"/>
            </w:pPr>
            <w:r>
              <w:t>Work areas and classrooms kept tidy and well organised.</w:t>
            </w:r>
          </w:p>
          <w:p w14:paraId="2E9038AC" w14:textId="5A111CDF" w:rsidR="00B02FD1" w:rsidRPr="006C7D66" w:rsidRDefault="00B02FD1" w:rsidP="00B02FD1">
            <w:pPr>
              <w:pStyle w:val="TableText"/>
            </w:pPr>
            <w:r>
              <w:t>When not in use, chairs/stools will be removed from the work area.</w:t>
            </w:r>
          </w:p>
        </w:tc>
        <w:tc>
          <w:tcPr>
            <w:tcW w:w="5112" w:type="dxa"/>
            <w:vAlign w:val="center"/>
          </w:tcPr>
          <w:p w14:paraId="6DDAF0FB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35BB201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7063C272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7D1BD557" w14:textId="7777777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Equipment, tools, machinery, electrical outlets</w:t>
            </w:r>
          </w:p>
          <w:p w14:paraId="394588BB" w14:textId="2FD46FAE" w:rsidR="00B02FD1" w:rsidRPr="006C7D66" w:rsidRDefault="00B02FD1" w:rsidP="00B02FD1">
            <w:pPr>
              <w:pStyle w:val="TableText"/>
            </w:pPr>
            <w:r>
              <w:rPr>
                <w:rFonts w:cs="Arial"/>
              </w:rPr>
              <w:t xml:space="preserve">Electrocution, fire hazards, </w:t>
            </w:r>
            <w:r>
              <w:rPr>
                <w:rFonts w:cs="Arial"/>
              </w:rPr>
              <w:lastRenderedPageBreak/>
              <w:t>mechanical faults</w:t>
            </w:r>
          </w:p>
        </w:tc>
        <w:tc>
          <w:tcPr>
            <w:tcW w:w="1134" w:type="dxa"/>
            <w:vAlign w:val="center"/>
          </w:tcPr>
          <w:p w14:paraId="419FBA8E" w14:textId="77777777" w:rsidR="00B02FD1" w:rsidRDefault="00B02FD1" w:rsidP="00B02FD1">
            <w:pPr>
              <w:pStyle w:val="TableTextCentreAligned"/>
            </w:pPr>
            <w:r>
              <w:lastRenderedPageBreak/>
              <w:t>Pupils</w:t>
            </w:r>
          </w:p>
          <w:p w14:paraId="3B9B4E4B" w14:textId="27C4A497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5E1BB171" w14:textId="5BA612E3" w:rsidR="00F57621" w:rsidRDefault="00F57621" w:rsidP="00B02FD1">
            <w:pPr>
              <w:pStyle w:val="TableText"/>
            </w:pPr>
            <w:r>
              <w:t>Priority is given to safety when selecting equipment, ensuring it is fitted with appropriate guards, emergency stops, and minimal exposed moving parts.</w:t>
            </w:r>
          </w:p>
          <w:p w14:paraId="5D8D8E72" w14:textId="78AE9F21" w:rsidR="00B02FD1" w:rsidRDefault="00B02FD1" w:rsidP="00B02FD1">
            <w:pPr>
              <w:pStyle w:val="TableText"/>
            </w:pPr>
            <w:r>
              <w:t>All equipment visually inspected prior to use.</w:t>
            </w:r>
          </w:p>
          <w:p w14:paraId="1A9E99C9" w14:textId="77777777" w:rsidR="00B02FD1" w:rsidRDefault="00B02FD1" w:rsidP="00B02FD1">
            <w:pPr>
              <w:pStyle w:val="TableText"/>
            </w:pPr>
            <w:r>
              <w:lastRenderedPageBreak/>
              <w:t xml:space="preserve">All electrical equipment PAT tested and/or Visually inspected on a regular basis, with records kept, in line with </w:t>
            </w:r>
            <w:hyperlink r:id="rId8" w:history="1">
              <w:r w:rsidRPr="00302026">
                <w:rPr>
                  <w:rStyle w:val="Hyperlink"/>
                  <w:rFonts w:cs="Arial"/>
                </w:rPr>
                <w:t>HSG107</w:t>
              </w:r>
            </w:hyperlink>
            <w:r>
              <w:t xml:space="preserve"> (Table 1)</w:t>
            </w:r>
          </w:p>
          <w:p w14:paraId="517E7CD9" w14:textId="77777777" w:rsidR="00B02FD1" w:rsidRDefault="00B02FD1" w:rsidP="00B02FD1">
            <w:pPr>
              <w:pStyle w:val="TableText"/>
            </w:pPr>
            <w:r>
              <w:t>Staff are trained to use all equipment and instruct pupils prior to lessons.</w:t>
            </w:r>
          </w:p>
          <w:p w14:paraId="7C887FF3" w14:textId="77777777" w:rsidR="00B02FD1" w:rsidRDefault="00B02FD1" w:rsidP="00B02FD1">
            <w:pPr>
              <w:pStyle w:val="TableText"/>
            </w:pPr>
            <w:r>
              <w:t xml:space="preserve">Pupils are instructed not to run or play with tools and equipment. </w:t>
            </w:r>
          </w:p>
          <w:p w14:paraId="1BA1756E" w14:textId="77777777" w:rsidR="00B02FD1" w:rsidRDefault="00B02FD1" w:rsidP="00B02FD1">
            <w:pPr>
              <w:pStyle w:val="TableText"/>
            </w:pPr>
            <w:r>
              <w:t>Damaged electrical sockets (cracking, scorch marks, loose fittings, blockages) are not to be used, and should be reported to SLT.</w:t>
            </w:r>
          </w:p>
          <w:p w14:paraId="50175D59" w14:textId="1C22C305" w:rsidR="00B02FD1" w:rsidRPr="006C7D66" w:rsidRDefault="00B02FD1" w:rsidP="00B02FD1">
            <w:pPr>
              <w:pStyle w:val="TableText"/>
            </w:pPr>
            <w:r>
              <w:t>Pupils informed of electrical safety (no wet hands, no inserting in to sockets, turn off after use etc.)</w:t>
            </w:r>
          </w:p>
        </w:tc>
        <w:tc>
          <w:tcPr>
            <w:tcW w:w="5112" w:type="dxa"/>
            <w:vAlign w:val="center"/>
          </w:tcPr>
          <w:p w14:paraId="2B6511D3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F69941B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3518C3F4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03CD3078" w14:textId="7777777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General storage</w:t>
            </w:r>
          </w:p>
          <w:p w14:paraId="3E278C2C" w14:textId="71C91F4B" w:rsidR="00B02FD1" w:rsidRPr="006C7D66" w:rsidRDefault="00B02FD1" w:rsidP="00B02FD1">
            <w:pPr>
              <w:pStyle w:val="TableText"/>
            </w:pPr>
            <w:r>
              <w:rPr>
                <w:rFonts w:cs="Arial"/>
              </w:rPr>
              <w:t>Slips trips and falls, manual handling injuries, falls from height.</w:t>
            </w:r>
          </w:p>
        </w:tc>
        <w:tc>
          <w:tcPr>
            <w:tcW w:w="1134" w:type="dxa"/>
            <w:vAlign w:val="center"/>
          </w:tcPr>
          <w:p w14:paraId="3DEB07E0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0E393819" w14:textId="7C9A001A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7CA06A48" w14:textId="77777777" w:rsidR="00B02FD1" w:rsidRDefault="00B02FD1" w:rsidP="00B02FD1">
            <w:pPr>
              <w:pStyle w:val="TableText"/>
            </w:pPr>
            <w:r>
              <w:t>All equipment and substances stored appropriately, and in line with manufacturers guidance.</w:t>
            </w:r>
          </w:p>
          <w:p w14:paraId="311A59B2" w14:textId="77777777" w:rsidR="00B02FD1" w:rsidRDefault="00B02FD1" w:rsidP="00B02FD1">
            <w:pPr>
              <w:pStyle w:val="TableText"/>
            </w:pPr>
            <w:r>
              <w:t>All equipment is accounted for at the end of each lesson.</w:t>
            </w:r>
          </w:p>
          <w:p w14:paraId="5AEFE026" w14:textId="77777777" w:rsidR="00B02FD1" w:rsidRDefault="00B02FD1" w:rsidP="00B02FD1">
            <w:pPr>
              <w:pStyle w:val="TableText"/>
            </w:pPr>
            <w:r>
              <w:t>Heavy equipment stored at an appropriate height.</w:t>
            </w:r>
          </w:p>
          <w:p w14:paraId="3F76ED84" w14:textId="77777777" w:rsidR="00B02FD1" w:rsidRDefault="00B02FD1" w:rsidP="00B02FD1">
            <w:pPr>
              <w:pStyle w:val="TableText"/>
            </w:pPr>
            <w:r>
              <w:t>If using a step-ladder, always maintain three points of contact.</w:t>
            </w:r>
          </w:p>
          <w:p w14:paraId="4429CED4" w14:textId="5082C761" w:rsidR="00B02FD1" w:rsidRPr="006C7D66" w:rsidRDefault="00B02FD1" w:rsidP="00B02FD1">
            <w:pPr>
              <w:pStyle w:val="TableText"/>
            </w:pPr>
            <w:r>
              <w:t>Rags/fabric cuttings/polyurethane foam etc. should not be allowed to accumulate or be stored near ignition sources.</w:t>
            </w:r>
          </w:p>
        </w:tc>
        <w:tc>
          <w:tcPr>
            <w:tcW w:w="5112" w:type="dxa"/>
            <w:vAlign w:val="center"/>
          </w:tcPr>
          <w:p w14:paraId="12F07A41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E8EBDEC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1C4C2A67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4BC266D3" w14:textId="7777777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COSHH</w:t>
            </w:r>
          </w:p>
          <w:p w14:paraId="3920AB99" w14:textId="2C851352" w:rsidR="00B02FD1" w:rsidRPr="006C7D66" w:rsidRDefault="00B02FD1" w:rsidP="00B02FD1">
            <w:pPr>
              <w:pStyle w:val="TableText"/>
            </w:pPr>
            <w:r>
              <w:rPr>
                <w:rFonts w:cs="Arial"/>
              </w:rPr>
              <w:t xml:space="preserve">Allergies, burns and scalds, fire hazards, ingestion, </w:t>
            </w:r>
            <w:r w:rsidR="00714F25">
              <w:rPr>
                <w:rFonts w:cs="Arial"/>
              </w:rPr>
              <w:t>inhalation</w:t>
            </w:r>
          </w:p>
        </w:tc>
        <w:tc>
          <w:tcPr>
            <w:tcW w:w="1134" w:type="dxa"/>
            <w:vAlign w:val="center"/>
          </w:tcPr>
          <w:p w14:paraId="747029B7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3563EDD7" w14:textId="0DFD5A87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4427B9B1" w14:textId="77777777" w:rsidR="00B02FD1" w:rsidRDefault="00B02FD1" w:rsidP="00B02FD1">
            <w:pPr>
              <w:pStyle w:val="TableText"/>
            </w:pPr>
            <w:r>
              <w:t>Flammable substances stored in a lockable fire resistant metal cabinet wherever possible, or a lockable cupboard, free of ignition sources and oxidising substances.</w:t>
            </w:r>
          </w:p>
          <w:p w14:paraId="430B92E4" w14:textId="77777777" w:rsidR="00B02FD1" w:rsidRDefault="00B02FD1" w:rsidP="00B02FD1">
            <w:pPr>
              <w:pStyle w:val="TableText"/>
            </w:pPr>
            <w:r>
              <w:t>Hazardous substances used in Art and DT recorded on central COSHH register. COSHH assessments completed for hazardous substances.</w:t>
            </w:r>
          </w:p>
          <w:p w14:paraId="2E0F1BA2" w14:textId="77777777" w:rsidR="00B02FD1" w:rsidRDefault="00B02FD1" w:rsidP="00B02FD1">
            <w:pPr>
              <w:pStyle w:val="TableText"/>
            </w:pPr>
            <w:r>
              <w:t xml:space="preserve">All hazardous substances used in line with manufacturer’s guidance. </w:t>
            </w:r>
          </w:p>
          <w:p w14:paraId="14A3D16C" w14:textId="77777777" w:rsidR="00B02FD1" w:rsidRDefault="00B02FD1" w:rsidP="00B02FD1">
            <w:pPr>
              <w:pStyle w:val="TableText"/>
            </w:pPr>
            <w:r>
              <w:t xml:space="preserve">Wherever possible, low risk paints, glues, pens etc. will be used. </w:t>
            </w:r>
          </w:p>
          <w:p w14:paraId="6BA5DF38" w14:textId="3CA135DC" w:rsidR="00B02FD1" w:rsidRDefault="00B02FD1" w:rsidP="00B02FD1">
            <w:pPr>
              <w:pStyle w:val="TableText"/>
            </w:pPr>
            <w:r>
              <w:lastRenderedPageBreak/>
              <w:t>Food is not to be consume</w:t>
            </w:r>
            <w:r w:rsidR="00ED5C0D">
              <w:t>d</w:t>
            </w:r>
            <w:r>
              <w:t xml:space="preserve"> in Art or DT spaces. </w:t>
            </w:r>
          </w:p>
          <w:p w14:paraId="55715005" w14:textId="77777777" w:rsidR="00B02FD1" w:rsidRDefault="00B02FD1" w:rsidP="00B02FD1">
            <w:pPr>
              <w:pStyle w:val="TableText"/>
            </w:pPr>
            <w:r>
              <w:t>Staff aware of all allergies in group.</w:t>
            </w:r>
          </w:p>
          <w:p w14:paraId="55A8221A" w14:textId="7717A036" w:rsidR="00B02FD1" w:rsidRPr="006C7D66" w:rsidRDefault="00B02FD1" w:rsidP="00B02FD1">
            <w:pPr>
              <w:pStyle w:val="TableText"/>
            </w:pPr>
            <w:r>
              <w:t>Staff aware of sings of undiagnosed allergies.</w:t>
            </w:r>
          </w:p>
        </w:tc>
        <w:tc>
          <w:tcPr>
            <w:tcW w:w="5112" w:type="dxa"/>
            <w:vAlign w:val="center"/>
          </w:tcPr>
          <w:p w14:paraId="2E3126D9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EAC1FC9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30CDB7E0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5F13DB33" w14:textId="7777777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Cookery, Food Prep, Kitchens</w:t>
            </w:r>
          </w:p>
          <w:p w14:paraId="6F2ED029" w14:textId="17CD10AA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Slips trips and falls, cuts, allergies, food poisoning, burns and scalds</w:t>
            </w:r>
          </w:p>
        </w:tc>
        <w:tc>
          <w:tcPr>
            <w:tcW w:w="1134" w:type="dxa"/>
            <w:vAlign w:val="center"/>
          </w:tcPr>
          <w:p w14:paraId="4B86A90F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71F4ACB4" w14:textId="08109140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606A33FF" w14:textId="77777777" w:rsidR="00B02FD1" w:rsidRDefault="00B02FD1" w:rsidP="00B02FD1">
            <w:pPr>
              <w:pStyle w:val="TableText"/>
            </w:pPr>
            <w:r>
              <w:t>Staff instructed in good hygiene practices.</w:t>
            </w:r>
          </w:p>
          <w:p w14:paraId="6559AB8E" w14:textId="77777777" w:rsidR="00B02FD1" w:rsidRDefault="00B02FD1" w:rsidP="00B02FD1">
            <w:pPr>
              <w:pStyle w:val="TableText"/>
            </w:pPr>
            <w:r>
              <w:t>Pupils informed of risk such as sharps, hot surfaces and cross contamination.</w:t>
            </w:r>
          </w:p>
          <w:p w14:paraId="3C175255" w14:textId="77777777" w:rsidR="00B02FD1" w:rsidRDefault="00B02FD1" w:rsidP="00B02FD1">
            <w:pPr>
              <w:pStyle w:val="TableText"/>
            </w:pPr>
            <w:r>
              <w:t>Pupils shown good hygiene practices at the beginning of lessons.</w:t>
            </w:r>
          </w:p>
          <w:p w14:paraId="65BE685C" w14:textId="77777777" w:rsidR="00B02FD1" w:rsidRDefault="00B02FD1" w:rsidP="00B02FD1">
            <w:pPr>
              <w:pStyle w:val="TableText"/>
            </w:pPr>
            <w:r>
              <w:t>All equipment used is age appropriate. Pupils shown how to use all equipment safely.</w:t>
            </w:r>
          </w:p>
          <w:p w14:paraId="54B67753" w14:textId="77777777" w:rsidR="00B02FD1" w:rsidRDefault="00B02FD1" w:rsidP="00B02FD1">
            <w:pPr>
              <w:pStyle w:val="TableText"/>
            </w:pPr>
            <w:r>
              <w:t>Sharps are stored in a lockable cupboard and accounted for at the end of the lesson.</w:t>
            </w:r>
          </w:p>
          <w:p w14:paraId="770C8630" w14:textId="77777777" w:rsidR="00B02FD1" w:rsidRDefault="00B02FD1" w:rsidP="00B02FD1">
            <w:pPr>
              <w:pStyle w:val="TableText"/>
            </w:pPr>
            <w:r>
              <w:t>Pupils informed not to leave sharps in the bowl when washing up.</w:t>
            </w:r>
          </w:p>
          <w:p w14:paraId="3684D3E1" w14:textId="77777777" w:rsidR="00B02FD1" w:rsidRDefault="00B02FD1" w:rsidP="00B02FD1">
            <w:pPr>
              <w:pStyle w:val="TableText"/>
            </w:pPr>
            <w:r>
              <w:t xml:space="preserve">Equipment with “concealed” sharp edges such as blenders to be assembles/dismantled/cleaned by staff. </w:t>
            </w:r>
          </w:p>
          <w:p w14:paraId="20C11CB5" w14:textId="77777777" w:rsidR="00B02FD1" w:rsidRDefault="00B02FD1" w:rsidP="00B02FD1">
            <w:pPr>
              <w:pStyle w:val="TableText"/>
            </w:pPr>
            <w:r>
              <w:t>Staff aware of allergies and sensitivities of pupils in the class. Staff aware of signs of an allergic reaction to undiagnosed allergens. Allergy medications easily accessible during cookery lessons.</w:t>
            </w:r>
          </w:p>
          <w:p w14:paraId="2B77078C" w14:textId="77777777" w:rsidR="00B02FD1" w:rsidRDefault="00B02FD1" w:rsidP="00B02FD1">
            <w:pPr>
              <w:pStyle w:val="TableText"/>
            </w:pPr>
            <w:r>
              <w:t>Cross contamination avoided using coloured chopping boards and cleaning of utensils/equipment between uses.</w:t>
            </w:r>
          </w:p>
          <w:p w14:paraId="10695DC1" w14:textId="77777777" w:rsidR="00B02FD1" w:rsidRDefault="00B02FD1" w:rsidP="00B02FD1">
            <w:pPr>
              <w:pStyle w:val="TableText"/>
            </w:pPr>
            <w:r>
              <w:t>Long hair tied back.</w:t>
            </w:r>
          </w:p>
          <w:p w14:paraId="353E6B10" w14:textId="77777777" w:rsidR="00B02FD1" w:rsidRDefault="00B02FD1" w:rsidP="00B02FD1">
            <w:pPr>
              <w:pStyle w:val="TableText"/>
            </w:pPr>
            <w:r>
              <w:t>Pupils supervised at all times</w:t>
            </w:r>
          </w:p>
          <w:p w14:paraId="369E1643" w14:textId="77777777" w:rsidR="00B02FD1" w:rsidRDefault="00B02FD1" w:rsidP="00B02FD1">
            <w:pPr>
              <w:pStyle w:val="TableText"/>
            </w:pPr>
            <w:r>
              <w:t xml:space="preserve">Oven gloves to be used when putting trays in and out of the oven and when handling pot handles etc. </w:t>
            </w:r>
          </w:p>
          <w:p w14:paraId="69C8CCD2" w14:textId="77777777" w:rsidR="00B02FD1" w:rsidRDefault="00B02FD1" w:rsidP="00B02FD1">
            <w:pPr>
              <w:pStyle w:val="TableText"/>
            </w:pPr>
            <w:r>
              <w:t>Pupils only to use hobs/cookers if height appropriate. They should not have to tiptoe or stretch to reach pots &amp; pans, and they should be below head height.</w:t>
            </w:r>
          </w:p>
          <w:p w14:paraId="52926050" w14:textId="5766953D" w:rsidR="00B02FD1" w:rsidRPr="006C7D66" w:rsidRDefault="00B02FD1" w:rsidP="00B02FD1">
            <w:pPr>
              <w:pStyle w:val="TableText"/>
            </w:pPr>
            <w:r>
              <w:t>Oven doors left closed while not taking food in/out.</w:t>
            </w:r>
          </w:p>
        </w:tc>
        <w:tc>
          <w:tcPr>
            <w:tcW w:w="5112" w:type="dxa"/>
            <w:vAlign w:val="center"/>
          </w:tcPr>
          <w:p w14:paraId="5485BEB1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9F18024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07CB960E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28484B8A" w14:textId="7777777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lastRenderedPageBreak/>
              <w:t>Using fixatives, glues and adhesives.</w:t>
            </w:r>
          </w:p>
          <w:p w14:paraId="1B1F9D18" w14:textId="7886A64D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 xml:space="preserve">Allergies, inhalation, skin gluing, burns, </w:t>
            </w:r>
          </w:p>
        </w:tc>
        <w:tc>
          <w:tcPr>
            <w:tcW w:w="1134" w:type="dxa"/>
            <w:vAlign w:val="center"/>
          </w:tcPr>
          <w:p w14:paraId="7B4B0A7E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26DA6AA0" w14:textId="08DE6EDA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15783628" w14:textId="77777777" w:rsidR="00B02FD1" w:rsidRDefault="00B02FD1" w:rsidP="00B02FD1">
            <w:pPr>
              <w:pStyle w:val="TableText"/>
            </w:pPr>
            <w:r>
              <w:t>Pupils instructed in quantities of glues to be used.</w:t>
            </w:r>
          </w:p>
          <w:p w14:paraId="3FC24CB6" w14:textId="77777777" w:rsidR="00B02FD1" w:rsidRDefault="00B02FD1" w:rsidP="00B02FD1">
            <w:pPr>
              <w:pStyle w:val="TableText"/>
            </w:pPr>
            <w:r>
              <w:t>Water based, non-toxic glues to be used, never use solvent-based glues with children.</w:t>
            </w:r>
          </w:p>
          <w:p w14:paraId="1C05B417" w14:textId="77777777" w:rsidR="00B02FD1" w:rsidRDefault="00B02FD1" w:rsidP="00B02FD1">
            <w:pPr>
              <w:pStyle w:val="TableText"/>
            </w:pPr>
            <w:r>
              <w:t>No superglue to be used with pupils.</w:t>
            </w:r>
          </w:p>
          <w:p w14:paraId="21DAA542" w14:textId="77777777" w:rsidR="00B02FD1" w:rsidRDefault="00B02FD1" w:rsidP="00B02FD1">
            <w:pPr>
              <w:pStyle w:val="TableText"/>
            </w:pPr>
            <w:r>
              <w:t>Spray adhesives and fixatives used by staff members</w:t>
            </w:r>
          </w:p>
          <w:p w14:paraId="5C0292B7" w14:textId="77777777" w:rsidR="00B02FD1" w:rsidRDefault="00B02FD1" w:rsidP="00B02FD1">
            <w:pPr>
              <w:pStyle w:val="TableText"/>
            </w:pPr>
            <w:r>
              <w:t>Aerosols used in well-ventilated spaces.</w:t>
            </w:r>
          </w:p>
          <w:p w14:paraId="69C36A18" w14:textId="77777777" w:rsidR="00B02FD1" w:rsidRDefault="00B02FD1" w:rsidP="00B02FD1">
            <w:pPr>
              <w:pStyle w:val="TableText"/>
            </w:pPr>
            <w:r>
              <w:t xml:space="preserve">Staff understand first aid actions for skin/eye contamination and indigestion for different substances. </w:t>
            </w:r>
          </w:p>
          <w:p w14:paraId="08C9FEFA" w14:textId="77777777" w:rsidR="00B02FD1" w:rsidRDefault="00B02FD1" w:rsidP="00B02FD1">
            <w:pPr>
              <w:pStyle w:val="TableText"/>
            </w:pPr>
            <w:r>
              <w:t>Glues containing fungicides should not be used by pupils.</w:t>
            </w:r>
          </w:p>
          <w:p w14:paraId="24394BDA" w14:textId="484771A5" w:rsidR="00B02FD1" w:rsidRPr="006C7D66" w:rsidRDefault="00B02FD1" w:rsidP="00B02FD1">
            <w:pPr>
              <w:pStyle w:val="TableText"/>
            </w:pPr>
            <w:r>
              <w:t>Glue guns used by young children should be low-melt only. All pupils should be supervised while using glue guns.</w:t>
            </w:r>
          </w:p>
        </w:tc>
        <w:tc>
          <w:tcPr>
            <w:tcW w:w="5112" w:type="dxa"/>
            <w:vAlign w:val="center"/>
          </w:tcPr>
          <w:p w14:paraId="451FA7DC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6A778F91" w14:textId="77777777" w:rsidR="00B02FD1" w:rsidRPr="006C7D66" w:rsidRDefault="00B02FD1" w:rsidP="00B02FD1">
            <w:pPr>
              <w:pStyle w:val="TableText"/>
            </w:pPr>
          </w:p>
        </w:tc>
      </w:tr>
      <w:tr w:rsidR="00B02FD1" w:rsidRPr="006C7D66" w14:paraId="312E5EB3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5AF3C35B" w14:textId="7777777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Using scissors/pliers and cutting tools</w:t>
            </w:r>
          </w:p>
          <w:p w14:paraId="087B05BE" w14:textId="549A5B17" w:rsidR="00B02FD1" w:rsidRDefault="00B02FD1" w:rsidP="00B02FD1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Cuts, pinching</w:t>
            </w:r>
          </w:p>
        </w:tc>
        <w:tc>
          <w:tcPr>
            <w:tcW w:w="1134" w:type="dxa"/>
            <w:vAlign w:val="center"/>
          </w:tcPr>
          <w:p w14:paraId="584F4409" w14:textId="77777777" w:rsidR="00B02FD1" w:rsidRDefault="00B02FD1" w:rsidP="00B02FD1">
            <w:pPr>
              <w:pStyle w:val="TableTextCentreAligned"/>
            </w:pPr>
            <w:r>
              <w:t>Pupils</w:t>
            </w:r>
          </w:p>
          <w:p w14:paraId="7297FA93" w14:textId="73F1F8DD" w:rsidR="00B02FD1" w:rsidRPr="006C7D66" w:rsidRDefault="00B02FD1" w:rsidP="00B02FD1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77DFA2F3" w14:textId="77777777" w:rsidR="00B02FD1" w:rsidRDefault="00B02FD1" w:rsidP="00B02FD1">
            <w:pPr>
              <w:pStyle w:val="TableText"/>
            </w:pPr>
            <w:r>
              <w:t>Supervision of pupils.</w:t>
            </w:r>
          </w:p>
          <w:p w14:paraId="597B4694" w14:textId="77777777" w:rsidR="00B02FD1" w:rsidRDefault="00B02FD1" w:rsidP="00B02FD1">
            <w:pPr>
              <w:pStyle w:val="TableText"/>
            </w:pPr>
            <w:r>
              <w:t>Round ended scissors to be used by pupils.</w:t>
            </w:r>
          </w:p>
          <w:p w14:paraId="694F70CF" w14:textId="77777777" w:rsidR="00B02FD1" w:rsidRDefault="00B02FD1" w:rsidP="00B02FD1">
            <w:pPr>
              <w:pStyle w:val="TableText"/>
            </w:pPr>
            <w:r>
              <w:t>All cutting tools accounted for at the end of lesson.</w:t>
            </w:r>
          </w:p>
          <w:p w14:paraId="27A79542" w14:textId="77777777" w:rsidR="00B02FD1" w:rsidRDefault="00B02FD1" w:rsidP="00B02FD1">
            <w:pPr>
              <w:pStyle w:val="TableText"/>
            </w:pPr>
            <w:r>
              <w:t>Cutting tools not left accessible to pupils when not in use.</w:t>
            </w:r>
          </w:p>
          <w:p w14:paraId="6315D992" w14:textId="77777777" w:rsidR="00B02FD1" w:rsidRDefault="00B02FD1" w:rsidP="00B02FD1">
            <w:pPr>
              <w:pStyle w:val="TableText"/>
            </w:pPr>
            <w:r>
              <w:t>Damaged cutting tools are disposed of immediately.</w:t>
            </w:r>
          </w:p>
          <w:p w14:paraId="584892A6" w14:textId="77777777" w:rsidR="00B02FD1" w:rsidRDefault="00B02FD1" w:rsidP="00B02FD1">
            <w:pPr>
              <w:pStyle w:val="TableText"/>
            </w:pPr>
            <w:r>
              <w:t>Cutting mats used to protect surfaces and improve control when using bladed cutting tools such as scalpels.</w:t>
            </w:r>
          </w:p>
          <w:p w14:paraId="732ED79F" w14:textId="77777777" w:rsidR="00B02FD1" w:rsidRDefault="00B02FD1" w:rsidP="00B02FD1">
            <w:pPr>
              <w:pStyle w:val="TableText"/>
            </w:pPr>
            <w:r>
              <w:t xml:space="preserve">Punches used for making holes in paper/materials rather than pointed implements such as screwdrivers/bradawls. </w:t>
            </w:r>
          </w:p>
          <w:p w14:paraId="6712EF7D" w14:textId="77777777" w:rsidR="00B02FD1" w:rsidRDefault="00B02FD1" w:rsidP="00B02FD1">
            <w:pPr>
              <w:pStyle w:val="TableText"/>
            </w:pPr>
            <w:r>
              <w:t>Pupils shown to carry scissors with blades closed and gripped in palm.</w:t>
            </w:r>
          </w:p>
          <w:p w14:paraId="4B74CE37" w14:textId="5C7A6AA5" w:rsidR="00B02FD1" w:rsidRPr="006C7D66" w:rsidRDefault="00B02FD1" w:rsidP="00B02FD1">
            <w:pPr>
              <w:pStyle w:val="TableText"/>
            </w:pPr>
            <w:r>
              <w:t>Left-handed tools available where required.</w:t>
            </w:r>
          </w:p>
        </w:tc>
        <w:tc>
          <w:tcPr>
            <w:tcW w:w="5112" w:type="dxa"/>
            <w:vAlign w:val="center"/>
          </w:tcPr>
          <w:p w14:paraId="5B17F4B6" w14:textId="77777777" w:rsidR="00B02FD1" w:rsidRPr="006C7D66" w:rsidRDefault="00B02FD1" w:rsidP="00B02FD1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4113D710" w14:textId="77777777" w:rsidR="00B02FD1" w:rsidRPr="006C7D66" w:rsidRDefault="00B02FD1" w:rsidP="00B02FD1">
            <w:pPr>
              <w:pStyle w:val="TableText"/>
            </w:pPr>
          </w:p>
        </w:tc>
      </w:tr>
      <w:tr w:rsidR="00714F25" w:rsidRPr="006C7D66" w14:paraId="55C73B0D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5731576F" w14:textId="77777777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Sewing/needlework</w:t>
            </w:r>
          </w:p>
          <w:p w14:paraId="59562888" w14:textId="1AF424E1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Puncture wounds, cuts, thread stuck between teeth</w:t>
            </w:r>
          </w:p>
        </w:tc>
        <w:tc>
          <w:tcPr>
            <w:tcW w:w="1134" w:type="dxa"/>
            <w:vAlign w:val="center"/>
          </w:tcPr>
          <w:p w14:paraId="14E699D1" w14:textId="77777777" w:rsidR="00714F25" w:rsidRDefault="00714F25" w:rsidP="00714F25">
            <w:pPr>
              <w:pStyle w:val="TableTextCentreAligned"/>
            </w:pPr>
            <w:r>
              <w:t>Pupils</w:t>
            </w:r>
          </w:p>
          <w:p w14:paraId="595DE1E4" w14:textId="6DA7B4DA" w:rsidR="00714F25" w:rsidRPr="006C7D66" w:rsidRDefault="00714F25" w:rsidP="00714F25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5F5A2CC8" w14:textId="77777777" w:rsidR="00714F25" w:rsidRDefault="00714F25" w:rsidP="00714F25">
            <w:pPr>
              <w:pStyle w:val="TableText"/>
            </w:pPr>
            <w:r>
              <w:t>Pupils instructed in how to use needle and thread safely.</w:t>
            </w:r>
          </w:p>
          <w:p w14:paraId="2174E3A1" w14:textId="77777777" w:rsidR="00714F25" w:rsidRDefault="00714F25" w:rsidP="00714F25">
            <w:pPr>
              <w:pStyle w:val="TableText"/>
            </w:pPr>
            <w:r>
              <w:t>Threads cut using scissors, not teeth, to prevent thread sticking in teeth.</w:t>
            </w:r>
          </w:p>
          <w:p w14:paraId="1C4D4B57" w14:textId="77777777" w:rsidR="00714F25" w:rsidRDefault="00714F25" w:rsidP="00714F25">
            <w:pPr>
              <w:pStyle w:val="TableText"/>
            </w:pPr>
            <w:r>
              <w:t xml:space="preserve">Avoid the use of thick materials such as leather or heavy canvas, to reduce accidental puncture injuries. </w:t>
            </w:r>
          </w:p>
          <w:p w14:paraId="5C5016C1" w14:textId="77777777" w:rsidR="00714F25" w:rsidRDefault="00714F25" w:rsidP="00714F25">
            <w:pPr>
              <w:pStyle w:val="TableText"/>
            </w:pPr>
            <w:r>
              <w:t xml:space="preserve">Use single layer, looser materials for cross-stitch such as aider cloth, felt and cotton. </w:t>
            </w:r>
          </w:p>
          <w:p w14:paraId="01AFC4AB" w14:textId="0785D544" w:rsidR="00714F25" w:rsidRPr="006C7D66" w:rsidRDefault="00714F25" w:rsidP="00714F25">
            <w:pPr>
              <w:pStyle w:val="TableText"/>
            </w:pPr>
            <w:r>
              <w:t>Provide thimbles when carrying out needlework with thicker materials.</w:t>
            </w:r>
          </w:p>
        </w:tc>
        <w:tc>
          <w:tcPr>
            <w:tcW w:w="5112" w:type="dxa"/>
            <w:vAlign w:val="center"/>
          </w:tcPr>
          <w:p w14:paraId="4F18899F" w14:textId="77777777" w:rsidR="00714F25" w:rsidRPr="006C7D66" w:rsidRDefault="00714F25" w:rsidP="00714F25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7B6466C3" w14:textId="77777777" w:rsidR="00714F25" w:rsidRPr="006C7D66" w:rsidRDefault="00714F25" w:rsidP="00714F25">
            <w:pPr>
              <w:pStyle w:val="TableText"/>
            </w:pPr>
          </w:p>
        </w:tc>
      </w:tr>
      <w:tr w:rsidR="00714F25" w:rsidRPr="006C7D66" w14:paraId="392E4EB2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408DE7BE" w14:textId="77777777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Woodwork, drilling, use of saws and portable power tools.</w:t>
            </w:r>
          </w:p>
          <w:p w14:paraId="1D28876E" w14:textId="1F004A9A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Wood dust, eye damage, cuts and lacerations, burns, puncture wounds</w:t>
            </w:r>
          </w:p>
        </w:tc>
        <w:tc>
          <w:tcPr>
            <w:tcW w:w="1134" w:type="dxa"/>
            <w:vAlign w:val="center"/>
          </w:tcPr>
          <w:p w14:paraId="55D1FC71" w14:textId="77777777" w:rsidR="00714F25" w:rsidRDefault="00714F25" w:rsidP="00714F25">
            <w:pPr>
              <w:pStyle w:val="TableTextCentreAligned"/>
            </w:pPr>
            <w:r>
              <w:t>Pupils</w:t>
            </w:r>
          </w:p>
          <w:p w14:paraId="36E05A6F" w14:textId="73CE4E98" w:rsidR="00714F25" w:rsidRPr="006C7D66" w:rsidRDefault="00714F25" w:rsidP="00714F25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34533B70" w14:textId="77777777" w:rsidR="00714F25" w:rsidRDefault="00714F25" w:rsidP="00714F25">
            <w:pPr>
              <w:pStyle w:val="TableText"/>
            </w:pPr>
            <w:r>
              <w:t>Pupils instructed in the safe use of all woodworking tools.</w:t>
            </w:r>
          </w:p>
          <w:p w14:paraId="781C1831" w14:textId="77777777" w:rsidR="00714F25" w:rsidRDefault="00714F25" w:rsidP="00714F25">
            <w:pPr>
              <w:pStyle w:val="TableText"/>
            </w:pPr>
            <w:r>
              <w:t>Workstations set up to accommodate left/right handed sawing (i.e. additional space on the side of their non-dominant hand).</w:t>
            </w:r>
          </w:p>
          <w:p w14:paraId="68D90E34" w14:textId="77777777" w:rsidR="00714F25" w:rsidRDefault="00714F25" w:rsidP="00714F25">
            <w:pPr>
              <w:pStyle w:val="TableText"/>
            </w:pPr>
            <w:r>
              <w:t>Pupils provided with goggles to protect against wood dust.</w:t>
            </w:r>
          </w:p>
          <w:p w14:paraId="6A02CB36" w14:textId="77777777" w:rsidR="00714F25" w:rsidRDefault="00714F25" w:rsidP="00714F25">
            <w:pPr>
              <w:pStyle w:val="TableText"/>
            </w:pPr>
            <w:r>
              <w:t>Space is well ventilated. Pupils told not to blow wood dust away after sawing/drilling.</w:t>
            </w:r>
          </w:p>
          <w:p w14:paraId="083ACD28" w14:textId="77777777" w:rsidR="00714F25" w:rsidRDefault="00714F25" w:rsidP="00714F25">
            <w:pPr>
              <w:pStyle w:val="TableText"/>
            </w:pPr>
            <w:r>
              <w:t>Pupils &amp; staff only to saw wood that is secured with a clamp. Bench hooks and vices used as appropriate.</w:t>
            </w:r>
          </w:p>
          <w:p w14:paraId="52DD38A5" w14:textId="77777777" w:rsidR="00714F25" w:rsidRDefault="00714F25" w:rsidP="00714F25">
            <w:pPr>
              <w:pStyle w:val="TableText"/>
            </w:pPr>
            <w:r>
              <w:t>All equipment accounted for at the end of the lesson, and kept in secure cupboard.</w:t>
            </w:r>
          </w:p>
          <w:p w14:paraId="0BD2E5DD" w14:textId="77777777" w:rsidR="00714F25" w:rsidRDefault="00714F25" w:rsidP="00714F25">
            <w:pPr>
              <w:pStyle w:val="TableText"/>
            </w:pPr>
            <w:r>
              <w:t>Staff to change drill bots/tool pieces.</w:t>
            </w:r>
          </w:p>
          <w:p w14:paraId="34C9138C" w14:textId="77777777" w:rsidR="00714F25" w:rsidRDefault="00714F25" w:rsidP="00714F25">
            <w:pPr>
              <w:pStyle w:val="TableText"/>
            </w:pPr>
            <w:r>
              <w:t>Drill bits let to cool after using, before changing.</w:t>
            </w:r>
          </w:p>
          <w:p w14:paraId="20FFA78B" w14:textId="77777777" w:rsidR="00714F25" w:rsidRDefault="00714F25" w:rsidP="00714F25">
            <w:pPr>
              <w:pStyle w:val="TableText"/>
            </w:pPr>
            <w:r>
              <w:t>Drills set to low speeds to reduce vibration and improve control.</w:t>
            </w:r>
          </w:p>
          <w:p w14:paraId="0ACB567E" w14:textId="77777777" w:rsidR="00714F25" w:rsidRDefault="00714F25" w:rsidP="00714F25">
            <w:pPr>
              <w:pStyle w:val="TableText"/>
            </w:pPr>
            <w:r>
              <w:t xml:space="preserve">All electrical equipment maintained and cleaned. PAT tested and/or Visually inspected on a regular basis, with records kept, in line with </w:t>
            </w:r>
            <w:hyperlink r:id="rId9" w:history="1">
              <w:r w:rsidRPr="00302026">
                <w:rPr>
                  <w:rStyle w:val="Hyperlink"/>
                  <w:rFonts w:cs="Arial"/>
                </w:rPr>
                <w:t>HSG107</w:t>
              </w:r>
            </w:hyperlink>
            <w:r>
              <w:t xml:space="preserve"> (Table 1)</w:t>
            </w:r>
          </w:p>
          <w:p w14:paraId="57FA1523" w14:textId="35C1CED4" w:rsidR="00714F25" w:rsidRPr="006C7D66" w:rsidRDefault="00714F25" w:rsidP="00714F25">
            <w:pPr>
              <w:pStyle w:val="TableText"/>
            </w:pPr>
            <w:r>
              <w:t>No long hair, loose clothing etc. while using electrical equipment, to prevent entanglement.</w:t>
            </w:r>
          </w:p>
        </w:tc>
        <w:tc>
          <w:tcPr>
            <w:tcW w:w="5112" w:type="dxa"/>
            <w:vAlign w:val="center"/>
          </w:tcPr>
          <w:p w14:paraId="3009BE20" w14:textId="77777777" w:rsidR="00714F25" w:rsidRPr="006C7D66" w:rsidRDefault="00714F25" w:rsidP="00714F25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0CFA660" w14:textId="77777777" w:rsidR="00714F25" w:rsidRPr="006C7D66" w:rsidRDefault="00714F25" w:rsidP="00714F25">
            <w:pPr>
              <w:pStyle w:val="TableText"/>
            </w:pPr>
          </w:p>
        </w:tc>
      </w:tr>
      <w:tr w:rsidR="00714F25" w:rsidRPr="006C7D66" w14:paraId="3EAAB299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3592680E" w14:textId="77777777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Using clay &amp; glazes</w:t>
            </w:r>
          </w:p>
          <w:p w14:paraId="60B53D15" w14:textId="4CAEBE12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Inhaling dust, skin allergy, slips trips and falls, cuts, fire hazards</w:t>
            </w:r>
          </w:p>
        </w:tc>
        <w:tc>
          <w:tcPr>
            <w:tcW w:w="1134" w:type="dxa"/>
            <w:vAlign w:val="center"/>
          </w:tcPr>
          <w:p w14:paraId="75BAA858" w14:textId="77777777" w:rsidR="00714F25" w:rsidRDefault="00714F25" w:rsidP="00714F25">
            <w:pPr>
              <w:pStyle w:val="TableTextCentreAligned"/>
            </w:pPr>
            <w:r>
              <w:t>Pupils</w:t>
            </w:r>
          </w:p>
          <w:p w14:paraId="23F5488A" w14:textId="14D93447" w:rsidR="00714F25" w:rsidRPr="006C7D66" w:rsidRDefault="00714F25" w:rsidP="00714F25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6728778D" w14:textId="77777777" w:rsidR="00714F25" w:rsidRDefault="00714F25" w:rsidP="00714F25">
            <w:pPr>
              <w:pStyle w:val="TableText"/>
            </w:pPr>
            <w:r>
              <w:t>Hands to be thoroughly washed before and after using clay.</w:t>
            </w:r>
          </w:p>
          <w:p w14:paraId="167F4294" w14:textId="77777777" w:rsidR="00714F25" w:rsidRDefault="00714F25" w:rsidP="00714F25">
            <w:pPr>
              <w:pStyle w:val="TableText"/>
            </w:pPr>
            <w:r>
              <w:t xml:space="preserve">Spillages cleared up immediately. </w:t>
            </w:r>
          </w:p>
          <w:p w14:paraId="2B29DFE3" w14:textId="77777777" w:rsidR="00714F25" w:rsidRDefault="00714F25" w:rsidP="00714F25">
            <w:pPr>
              <w:pStyle w:val="TableText"/>
            </w:pPr>
            <w:r>
              <w:t>Plastic/wooden cutting tools used. No sharp edges.</w:t>
            </w:r>
          </w:p>
          <w:p w14:paraId="007EE32E" w14:textId="77777777" w:rsidR="00714F25" w:rsidRDefault="00714F25" w:rsidP="00714F25">
            <w:pPr>
              <w:pStyle w:val="TableText"/>
            </w:pPr>
            <w:r>
              <w:t>Any sanding/cutting of fired clay to be carried out by staff using appropriate respiratory protection.</w:t>
            </w:r>
          </w:p>
          <w:p w14:paraId="1EDE1BC7" w14:textId="77777777" w:rsidR="00714F25" w:rsidRDefault="00714F25" w:rsidP="00714F25">
            <w:pPr>
              <w:pStyle w:val="TableText"/>
            </w:pPr>
            <w:r>
              <w:t>Paints/underglazes used with PPE as recommended by manufacturer.</w:t>
            </w:r>
          </w:p>
          <w:p w14:paraId="13EC9DEB" w14:textId="49DC6062" w:rsidR="00714F25" w:rsidRPr="006C7D66" w:rsidRDefault="00714F25" w:rsidP="00714F25">
            <w:pPr>
              <w:pStyle w:val="TableText"/>
            </w:pPr>
            <w:r>
              <w:t>Flammable glazes stored in suitable fire resistant cabinet or away from ignition sources in lockable cupboard.</w:t>
            </w:r>
          </w:p>
        </w:tc>
        <w:tc>
          <w:tcPr>
            <w:tcW w:w="5112" w:type="dxa"/>
            <w:vAlign w:val="center"/>
          </w:tcPr>
          <w:p w14:paraId="7772F44B" w14:textId="77777777" w:rsidR="00714F25" w:rsidRPr="006C7D66" w:rsidRDefault="00714F25" w:rsidP="00714F25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1012DCBB" w14:textId="77777777" w:rsidR="00714F25" w:rsidRPr="006C7D66" w:rsidRDefault="00714F25" w:rsidP="00714F25">
            <w:pPr>
              <w:pStyle w:val="TableText"/>
            </w:pPr>
          </w:p>
        </w:tc>
      </w:tr>
      <w:tr w:rsidR="00714F25" w:rsidRPr="006C7D66" w14:paraId="441075EE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4B4C5FE0" w14:textId="468906F3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Paints</w:t>
            </w:r>
          </w:p>
        </w:tc>
        <w:tc>
          <w:tcPr>
            <w:tcW w:w="1134" w:type="dxa"/>
            <w:vAlign w:val="center"/>
          </w:tcPr>
          <w:p w14:paraId="6BB74874" w14:textId="77777777" w:rsidR="00714F25" w:rsidRDefault="00714F25" w:rsidP="00714F25">
            <w:pPr>
              <w:pStyle w:val="TableTextCentreAligned"/>
            </w:pPr>
            <w:r>
              <w:t>Pupils</w:t>
            </w:r>
          </w:p>
          <w:p w14:paraId="4C07049E" w14:textId="716380F9" w:rsidR="00714F25" w:rsidRPr="006C7D66" w:rsidRDefault="00714F25" w:rsidP="00714F25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266A72B2" w14:textId="77777777" w:rsidR="00714F25" w:rsidRDefault="00714F25" w:rsidP="00714F25">
            <w:pPr>
              <w:pStyle w:val="TableText"/>
            </w:pPr>
            <w:r>
              <w:t>Hands to be thoroughly washed before and after using paints.</w:t>
            </w:r>
          </w:p>
          <w:p w14:paraId="5CBEE5C9" w14:textId="77777777" w:rsidR="00714F25" w:rsidRDefault="00714F25" w:rsidP="00714F25">
            <w:pPr>
              <w:pStyle w:val="TableText"/>
            </w:pPr>
            <w:r>
              <w:t>Water based paints used, low VOC, no solvent or oil based paints.</w:t>
            </w:r>
          </w:p>
          <w:p w14:paraId="4448FEFC" w14:textId="22824908" w:rsidR="00714F25" w:rsidRPr="006C7D66" w:rsidRDefault="00714F25" w:rsidP="00714F25">
            <w:pPr>
              <w:pStyle w:val="TableText"/>
            </w:pPr>
            <w:r>
              <w:t>Spillages cleaned up immediately.</w:t>
            </w:r>
          </w:p>
        </w:tc>
        <w:tc>
          <w:tcPr>
            <w:tcW w:w="5112" w:type="dxa"/>
            <w:vAlign w:val="center"/>
          </w:tcPr>
          <w:p w14:paraId="3F6ADE5E" w14:textId="77777777" w:rsidR="00714F25" w:rsidRPr="006C7D66" w:rsidRDefault="00714F25" w:rsidP="00714F25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01E1874E" w14:textId="77777777" w:rsidR="00714F25" w:rsidRPr="006C7D66" w:rsidRDefault="00714F25" w:rsidP="00714F25">
            <w:pPr>
              <w:pStyle w:val="TableText"/>
            </w:pPr>
          </w:p>
        </w:tc>
      </w:tr>
      <w:tr w:rsidR="00714F25" w:rsidRPr="006C7D66" w14:paraId="2780B859" w14:textId="77777777" w:rsidTr="00B02FD1">
        <w:trPr>
          <w:trHeight w:val="470"/>
          <w:jc w:val="center"/>
        </w:trPr>
        <w:tc>
          <w:tcPr>
            <w:tcW w:w="1696" w:type="dxa"/>
            <w:vAlign w:val="center"/>
          </w:tcPr>
          <w:p w14:paraId="102CEDE0" w14:textId="77777777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Using batteries</w:t>
            </w:r>
          </w:p>
          <w:p w14:paraId="66EEDC70" w14:textId="26AE5F0D" w:rsidR="00714F25" w:rsidRDefault="00714F25" w:rsidP="00714F25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Electric shocks, swallowing, leaking</w:t>
            </w:r>
          </w:p>
        </w:tc>
        <w:tc>
          <w:tcPr>
            <w:tcW w:w="1134" w:type="dxa"/>
            <w:vAlign w:val="center"/>
          </w:tcPr>
          <w:p w14:paraId="380839A0" w14:textId="77777777" w:rsidR="00714F25" w:rsidRDefault="00714F25" w:rsidP="00714F25">
            <w:pPr>
              <w:pStyle w:val="TableTextCentreAligned"/>
            </w:pPr>
            <w:r>
              <w:t>Pupils</w:t>
            </w:r>
          </w:p>
          <w:p w14:paraId="748BAB72" w14:textId="2E9789DD" w:rsidR="00714F25" w:rsidRPr="006C7D66" w:rsidRDefault="00714F25" w:rsidP="00714F25">
            <w:pPr>
              <w:pStyle w:val="TableTextCentreAligned"/>
            </w:pPr>
            <w:r>
              <w:t>Staff</w:t>
            </w:r>
          </w:p>
        </w:tc>
        <w:tc>
          <w:tcPr>
            <w:tcW w:w="5954" w:type="dxa"/>
            <w:vAlign w:val="center"/>
          </w:tcPr>
          <w:p w14:paraId="7B3878CA" w14:textId="77777777" w:rsidR="00714F25" w:rsidRDefault="00714F25" w:rsidP="00714F25">
            <w:pPr>
              <w:pStyle w:val="TableText"/>
            </w:pPr>
            <w:r>
              <w:t>Young pupils supervised when using batteries.</w:t>
            </w:r>
          </w:p>
          <w:p w14:paraId="407EE920" w14:textId="77777777" w:rsidR="00714F25" w:rsidRDefault="00714F25" w:rsidP="00714F25">
            <w:pPr>
              <w:pStyle w:val="TableText"/>
            </w:pPr>
            <w:r>
              <w:t>Batteries accounted for when replacing.</w:t>
            </w:r>
          </w:p>
          <w:p w14:paraId="5FC24152" w14:textId="77777777" w:rsidR="00714F25" w:rsidRDefault="00714F25" w:rsidP="00714F25">
            <w:pPr>
              <w:pStyle w:val="TableText"/>
            </w:pPr>
            <w:r>
              <w:t>Batteries removed from equipment when not in use.</w:t>
            </w:r>
          </w:p>
          <w:p w14:paraId="3A50D8AE" w14:textId="77777777" w:rsidR="00714F25" w:rsidRDefault="00714F25" w:rsidP="00714F25">
            <w:pPr>
              <w:pStyle w:val="TableText"/>
            </w:pPr>
            <w:r>
              <w:t>Batteries kept in original packaging.</w:t>
            </w:r>
          </w:p>
          <w:p w14:paraId="4A9568A5" w14:textId="77777777" w:rsidR="00714F25" w:rsidRDefault="00714F25" w:rsidP="00714F25">
            <w:pPr>
              <w:pStyle w:val="TableText"/>
            </w:pPr>
            <w:r>
              <w:t>Batteries charged unsupervised/overnight.</w:t>
            </w:r>
          </w:p>
          <w:p w14:paraId="60DC6F2F" w14:textId="77777777" w:rsidR="00714F25" w:rsidRDefault="00714F25" w:rsidP="00714F25">
            <w:pPr>
              <w:pStyle w:val="TableText"/>
            </w:pPr>
            <w:r>
              <w:t>If it is suspected that a pupil has swallowed a battery, attend A&amp;E immediately.</w:t>
            </w:r>
          </w:p>
          <w:p w14:paraId="2D3D30CC" w14:textId="03A257D6" w:rsidR="00714F25" w:rsidRPr="006C7D66" w:rsidRDefault="00714F25" w:rsidP="00714F25">
            <w:pPr>
              <w:pStyle w:val="TableText"/>
            </w:pPr>
            <w:r>
              <w:t>Damaged batteries are disposed of immediately.</w:t>
            </w:r>
          </w:p>
        </w:tc>
        <w:tc>
          <w:tcPr>
            <w:tcW w:w="5112" w:type="dxa"/>
            <w:vAlign w:val="center"/>
          </w:tcPr>
          <w:p w14:paraId="1F85C9AB" w14:textId="77777777" w:rsidR="00714F25" w:rsidRPr="006C7D66" w:rsidRDefault="00714F25" w:rsidP="00714F25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6A966A81" w14:textId="77777777" w:rsidR="00714F25" w:rsidRPr="006C7D66" w:rsidRDefault="00714F25" w:rsidP="00714F25">
            <w:pPr>
              <w:pStyle w:val="TableText"/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10"/>
          <w:footerReference w:type="default" r:id="rId11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3E6C392C"/>
    <w:lvl w:ilvl="0" w:tplc="4252BE8C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2"/>
  </w:num>
  <w:num w:numId="19">
    <w:abstractNumId w:val="19"/>
  </w:num>
  <w:num w:numId="20">
    <w:abstractNumId w:val="10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21F95"/>
    <w:rsid w:val="0002201C"/>
    <w:rsid w:val="00022806"/>
    <w:rsid w:val="00057192"/>
    <w:rsid w:val="000D73A1"/>
    <w:rsid w:val="00104805"/>
    <w:rsid w:val="00137B38"/>
    <w:rsid w:val="0014361E"/>
    <w:rsid w:val="0015442F"/>
    <w:rsid w:val="001A55FE"/>
    <w:rsid w:val="00202359"/>
    <w:rsid w:val="00205BA7"/>
    <w:rsid w:val="0020727E"/>
    <w:rsid w:val="00245277"/>
    <w:rsid w:val="00250A55"/>
    <w:rsid w:val="00282A1E"/>
    <w:rsid w:val="002906E6"/>
    <w:rsid w:val="002D1B78"/>
    <w:rsid w:val="003233F4"/>
    <w:rsid w:val="00360F6A"/>
    <w:rsid w:val="003A6C24"/>
    <w:rsid w:val="003C2371"/>
    <w:rsid w:val="003D15D4"/>
    <w:rsid w:val="00400220"/>
    <w:rsid w:val="004044A1"/>
    <w:rsid w:val="00414AE5"/>
    <w:rsid w:val="00427EEF"/>
    <w:rsid w:val="004302F3"/>
    <w:rsid w:val="00467D2F"/>
    <w:rsid w:val="00490E92"/>
    <w:rsid w:val="004E0212"/>
    <w:rsid w:val="00553FEF"/>
    <w:rsid w:val="00594ACE"/>
    <w:rsid w:val="005D626E"/>
    <w:rsid w:val="005E0AFC"/>
    <w:rsid w:val="006802A1"/>
    <w:rsid w:val="006A16F6"/>
    <w:rsid w:val="006B212C"/>
    <w:rsid w:val="006C7D66"/>
    <w:rsid w:val="006D1CB9"/>
    <w:rsid w:val="00714F25"/>
    <w:rsid w:val="007A76F7"/>
    <w:rsid w:val="007D252E"/>
    <w:rsid w:val="0084142B"/>
    <w:rsid w:val="00880B03"/>
    <w:rsid w:val="0088640C"/>
    <w:rsid w:val="008A369D"/>
    <w:rsid w:val="008A37FA"/>
    <w:rsid w:val="008A76F1"/>
    <w:rsid w:val="008F1C14"/>
    <w:rsid w:val="00906827"/>
    <w:rsid w:val="00991E6F"/>
    <w:rsid w:val="009921C3"/>
    <w:rsid w:val="009B7C94"/>
    <w:rsid w:val="00A21917"/>
    <w:rsid w:val="00A57BBB"/>
    <w:rsid w:val="00A6643F"/>
    <w:rsid w:val="00A825F9"/>
    <w:rsid w:val="00AA2331"/>
    <w:rsid w:val="00AA606C"/>
    <w:rsid w:val="00AF08C1"/>
    <w:rsid w:val="00B02FD1"/>
    <w:rsid w:val="00B062E2"/>
    <w:rsid w:val="00B442CD"/>
    <w:rsid w:val="00B77EB4"/>
    <w:rsid w:val="00BC1F03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A68F9"/>
    <w:rsid w:val="00CC538D"/>
    <w:rsid w:val="00CD29C4"/>
    <w:rsid w:val="00D01F1A"/>
    <w:rsid w:val="00D14C2F"/>
    <w:rsid w:val="00D207B9"/>
    <w:rsid w:val="00D21A2D"/>
    <w:rsid w:val="00D56CB2"/>
    <w:rsid w:val="00D921E7"/>
    <w:rsid w:val="00DC0B8B"/>
    <w:rsid w:val="00DC3BA4"/>
    <w:rsid w:val="00E404B8"/>
    <w:rsid w:val="00E741AF"/>
    <w:rsid w:val="00E742E3"/>
    <w:rsid w:val="00E84E41"/>
    <w:rsid w:val="00EA55BC"/>
    <w:rsid w:val="00ED5C0D"/>
    <w:rsid w:val="00EE4C54"/>
    <w:rsid w:val="00EF6FCD"/>
    <w:rsid w:val="00F03B02"/>
    <w:rsid w:val="00F07604"/>
    <w:rsid w:val="00F11D0A"/>
    <w:rsid w:val="00F32D6B"/>
    <w:rsid w:val="00F518C0"/>
    <w:rsid w:val="00F57621"/>
    <w:rsid w:val="00F61996"/>
    <w:rsid w:val="00F7127D"/>
    <w:rsid w:val="00F72B43"/>
    <w:rsid w:val="00F97429"/>
    <w:rsid w:val="00FA45AE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6C7D66"/>
    <w:pPr>
      <w:spacing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6C7D66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  <w:style w:type="paragraph" w:customStyle="1" w:styleId="TableTextCentreAligned">
    <w:name w:val="Table Text Centre Aligned"/>
    <w:basedOn w:val="TableText"/>
    <w:link w:val="TableTextCentreAlignedChar"/>
    <w:qFormat/>
    <w:rsid w:val="006C7D66"/>
    <w:pPr>
      <w:jc w:val="center"/>
    </w:pPr>
  </w:style>
  <w:style w:type="character" w:customStyle="1" w:styleId="TableTextCentreAlignedChar">
    <w:name w:val="Table Text Centre Aligned Char"/>
    <w:basedOn w:val="TableTextChar"/>
    <w:link w:val="TableTextCentreAligned"/>
    <w:rsid w:val="006C7D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pubns/priced/hsg10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gov.uk/pubns/priced/hsg1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8DA0-069D-4EBB-AA4B-F18660EC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design technology</dc:title>
  <dc:subject/>
  <dc:creator>Herefordshire Council</dc:creator>
  <cp:keywords>risk assessment;design technology</cp:keywords>
  <dc:description/>
  <cp:lastModifiedBy>Walder, Rebecca</cp:lastModifiedBy>
  <cp:revision>4</cp:revision>
  <dcterms:created xsi:type="dcterms:W3CDTF">2024-04-05T14:59:00Z</dcterms:created>
  <dcterms:modified xsi:type="dcterms:W3CDTF">2024-07-08T14:38:00Z</dcterms:modified>
</cp:coreProperties>
</file>