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84E41" w:rsidRPr="006C7D66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6C7D66" w:rsidRDefault="00E84E41" w:rsidP="006C7D66">
            <w:pPr>
              <w:pStyle w:val="TableText"/>
            </w:pPr>
            <w:bookmarkStart w:id="0" w:name="_GoBack"/>
            <w:bookmarkEnd w:id="0"/>
            <w:r w:rsidRPr="006C7D66"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5EF63B1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E84E41" w:rsidRPr="006C7D66" w:rsidRDefault="008A76F1" w:rsidP="006C7D66">
            <w:pPr>
              <w:pStyle w:val="TableText"/>
            </w:pPr>
            <w:r w:rsidRPr="006C7D66">
              <w:t>Activity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49550D90" w14:textId="74CF16F4" w:rsidR="00E84E41" w:rsidRPr="006C7D66" w:rsidRDefault="00D9428D" w:rsidP="006C7D66">
            <w:pPr>
              <w:pStyle w:val="TableText"/>
            </w:pPr>
            <w:r>
              <w:t>Dogs in School</w:t>
            </w:r>
          </w:p>
        </w:tc>
      </w:tr>
      <w:tr w:rsidR="00E84E41" w:rsidRPr="006C7D66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E84E41" w:rsidRPr="006C7D66" w:rsidRDefault="008A76F1" w:rsidP="006C7D66">
            <w:pPr>
              <w:pStyle w:val="TableText"/>
            </w:pPr>
            <w:r w:rsidRPr="006C7D66">
              <w:t>Completed by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30DE1141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E84E41" w:rsidRPr="006C7D66" w:rsidRDefault="00E84E41" w:rsidP="006C7D66">
            <w:pPr>
              <w:pStyle w:val="TableTextCentreAligned"/>
            </w:pPr>
            <w:r w:rsidRPr="006C7D66">
              <w:t>Hazards</w:t>
            </w:r>
          </w:p>
        </w:tc>
        <w:tc>
          <w:tcPr>
            <w:tcW w:w="1134" w:type="dxa"/>
            <w:vAlign w:val="center"/>
          </w:tcPr>
          <w:p w14:paraId="49C25D39" w14:textId="77777777" w:rsidR="00E84E41" w:rsidRPr="006C7D66" w:rsidRDefault="00E84E41" w:rsidP="006C7D66">
            <w:pPr>
              <w:pStyle w:val="TableTextCentreAligned"/>
            </w:pPr>
            <w:r w:rsidRPr="006C7D66">
              <w:t>Who is at risk?</w:t>
            </w:r>
          </w:p>
        </w:tc>
        <w:tc>
          <w:tcPr>
            <w:tcW w:w="5954" w:type="dxa"/>
            <w:vAlign w:val="center"/>
          </w:tcPr>
          <w:p w14:paraId="407F3424" w14:textId="77777777" w:rsidR="00E84E41" w:rsidRPr="006C7D66" w:rsidRDefault="00E84E41" w:rsidP="006C7D66">
            <w:pPr>
              <w:pStyle w:val="TableTextCentreAligned"/>
            </w:pPr>
            <w:r w:rsidRPr="006C7D66">
              <w:t>Current Control Measures</w:t>
            </w:r>
          </w:p>
        </w:tc>
        <w:tc>
          <w:tcPr>
            <w:tcW w:w="5112" w:type="dxa"/>
            <w:vAlign w:val="center"/>
          </w:tcPr>
          <w:p w14:paraId="6B001A26" w14:textId="77777777" w:rsidR="00E84E41" w:rsidRPr="006C7D66" w:rsidRDefault="00E84E41" w:rsidP="006C7D66">
            <w:pPr>
              <w:pStyle w:val="TableTextCentreAligned"/>
            </w:pPr>
            <w:r w:rsidRPr="006C7D66"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E84E41" w:rsidRPr="006C7D66" w:rsidRDefault="00E84E41" w:rsidP="006C7D66">
            <w:pPr>
              <w:pStyle w:val="TableTextCentreAligned"/>
            </w:pPr>
            <w:r w:rsidRPr="006C7D66">
              <w:t>Timescale</w:t>
            </w:r>
          </w:p>
        </w:tc>
      </w:tr>
      <w:tr w:rsidR="000A29BC" w:rsidRPr="006C7D66" w14:paraId="09FF5F3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0FC2F70D" w14:textId="30D29087" w:rsidR="000A29BC" w:rsidRDefault="000A29BC" w:rsidP="006802A1">
            <w:pPr>
              <w:pStyle w:val="TableTextCentreAligned"/>
              <w:jc w:val="left"/>
            </w:pPr>
            <w:r>
              <w:t>Basic standards</w:t>
            </w:r>
            <w:r w:rsidR="004253CA">
              <w:t xml:space="preserve"> for dogs in the school</w:t>
            </w:r>
            <w:r>
              <w:t>.</w:t>
            </w:r>
          </w:p>
        </w:tc>
        <w:tc>
          <w:tcPr>
            <w:tcW w:w="1134" w:type="dxa"/>
            <w:vAlign w:val="center"/>
          </w:tcPr>
          <w:p w14:paraId="458C62FF" w14:textId="77777777" w:rsidR="000A29BC" w:rsidRDefault="000A29BC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33D2237D" w14:textId="77777777" w:rsidR="000A29BC" w:rsidRDefault="000A29BC" w:rsidP="000A29BC">
            <w:pPr>
              <w:pStyle w:val="TableText"/>
            </w:pPr>
            <w:r w:rsidRPr="000A29BC">
              <w:t xml:space="preserve">Dogs involved in active sessions in schools must: </w:t>
            </w:r>
          </w:p>
          <w:p w14:paraId="55E47499" w14:textId="77777777" w:rsidR="000A29BC" w:rsidRDefault="000A29BC" w:rsidP="000A29BC">
            <w:pPr>
              <w:pStyle w:val="NumberedBullets"/>
            </w:pPr>
            <w:r w:rsidRPr="000A29BC">
              <w:t xml:space="preserve">Be a minimum of 12 months of age </w:t>
            </w:r>
          </w:p>
          <w:p w14:paraId="6FD6DB4E" w14:textId="77777777" w:rsidR="000A29BC" w:rsidRDefault="000A29BC" w:rsidP="000A29BC">
            <w:pPr>
              <w:pStyle w:val="NumberedBullets"/>
            </w:pPr>
            <w:r w:rsidRPr="000A29BC">
              <w:t xml:space="preserve">Not bark, mouth, jump up at, or paw people </w:t>
            </w:r>
          </w:p>
          <w:p w14:paraId="1B5D18AE" w14:textId="77777777" w:rsidR="004253CA" w:rsidRDefault="000A29BC" w:rsidP="000A29BC">
            <w:pPr>
              <w:pStyle w:val="NumberedBullets"/>
            </w:pPr>
            <w:r w:rsidRPr="000A29BC">
              <w:t xml:space="preserve">Be adaptable to new environments and unexpected stimuli, such as new smells, objects, and sudden noises </w:t>
            </w:r>
          </w:p>
          <w:p w14:paraId="58C453DC" w14:textId="77777777" w:rsidR="004253CA" w:rsidRDefault="000A29BC" w:rsidP="000A29BC">
            <w:pPr>
              <w:pStyle w:val="NumberedBullets"/>
            </w:pPr>
            <w:r w:rsidRPr="000A29BC">
              <w:t xml:space="preserve">Be socially confident, enjoy human interaction, and be relaxed and calm in the company of children, even when there is a level of noise and erratic  behaviour around </w:t>
            </w:r>
          </w:p>
          <w:p w14:paraId="57864AEB" w14:textId="77777777" w:rsidR="004253CA" w:rsidRDefault="000A29BC" w:rsidP="000A29BC">
            <w:pPr>
              <w:pStyle w:val="NumberedBullets"/>
            </w:pPr>
            <w:r w:rsidRPr="000A29BC">
              <w:t xml:space="preserve">Be comfortable with appropriate physical interaction e.g. grooming, and not  respond unduly negatively to unexpected lively behaviour from children </w:t>
            </w:r>
          </w:p>
          <w:p w14:paraId="30FAF21A" w14:textId="77777777" w:rsidR="004253CA" w:rsidRDefault="000A29BC" w:rsidP="000A29BC">
            <w:pPr>
              <w:pStyle w:val="NumberedBullets"/>
            </w:pPr>
            <w:r w:rsidRPr="000A29BC">
              <w:t xml:space="preserve">Be comfortable engaging with children that may have physical/learning disabilities, and around mechanical aids e.g. wheelchairs, where relevant </w:t>
            </w:r>
          </w:p>
          <w:p w14:paraId="314DC8D1" w14:textId="77777777" w:rsidR="004253CA" w:rsidRDefault="000A29BC" w:rsidP="000A29BC">
            <w:pPr>
              <w:pStyle w:val="NumberedBullets"/>
            </w:pPr>
            <w:r w:rsidRPr="000A29BC">
              <w:t xml:space="preserve">Exhibit no guarding of resources e.g. food/toys or avoidance behaviour </w:t>
            </w:r>
          </w:p>
          <w:p w14:paraId="62D91D4E" w14:textId="77777777" w:rsidR="004253CA" w:rsidRDefault="000A29BC" w:rsidP="000A29BC">
            <w:pPr>
              <w:pStyle w:val="NumberedBullets"/>
            </w:pPr>
            <w:r w:rsidRPr="000A29BC">
              <w:t xml:space="preserve">Take treats gently when offered and not snatch toys from hands </w:t>
            </w:r>
          </w:p>
          <w:p w14:paraId="477D368F" w14:textId="77777777" w:rsidR="000A29BC" w:rsidRDefault="000A29BC" w:rsidP="000A29BC">
            <w:pPr>
              <w:pStyle w:val="NumberedBullets"/>
            </w:pPr>
            <w:r w:rsidRPr="000A29BC">
              <w:t>Be easily identifiable as a dog performing a clear role in the school</w:t>
            </w:r>
          </w:p>
          <w:p w14:paraId="35BEB019" w14:textId="552231EC" w:rsidR="00382C40" w:rsidRDefault="00382C40" w:rsidP="00382C40">
            <w:pPr>
              <w:pStyle w:val="NumberedBullets"/>
              <w:numPr>
                <w:ilvl w:val="0"/>
                <w:numId w:val="0"/>
              </w:numPr>
            </w:pPr>
          </w:p>
        </w:tc>
        <w:tc>
          <w:tcPr>
            <w:tcW w:w="5112" w:type="dxa"/>
            <w:vAlign w:val="center"/>
          </w:tcPr>
          <w:p w14:paraId="6F76724A" w14:textId="4A85C350" w:rsidR="000A29BC" w:rsidRPr="006C7D66" w:rsidRDefault="00382C40" w:rsidP="00382C40">
            <w:pPr>
              <w:pStyle w:val="TableText"/>
            </w:pPr>
            <w:r>
              <w:t xml:space="preserve">Consider achieving the Kennel club </w:t>
            </w:r>
            <w:hyperlink r:id="rId8" w:history="1">
              <w:r w:rsidRPr="00382C40">
                <w:rPr>
                  <w:rStyle w:val="Hyperlink"/>
                  <w:sz w:val="22"/>
                </w:rPr>
                <w:t>Silver Good Citizen Scheme</w:t>
              </w:r>
            </w:hyperlink>
            <w:r>
              <w:t>. Even if they do not hold accreditation, dogs should be expected to meet the standards laid out in this scheme.</w:t>
            </w:r>
          </w:p>
        </w:tc>
        <w:tc>
          <w:tcPr>
            <w:tcW w:w="1508" w:type="dxa"/>
            <w:vAlign w:val="center"/>
          </w:tcPr>
          <w:p w14:paraId="2E0B7E77" w14:textId="77777777" w:rsidR="000A29BC" w:rsidRPr="006C7D66" w:rsidRDefault="000A29BC" w:rsidP="006C7D66">
            <w:pPr>
              <w:pStyle w:val="TableText"/>
            </w:pPr>
          </w:p>
        </w:tc>
      </w:tr>
      <w:tr w:rsidR="008A76F1" w:rsidRPr="006C7D66" w14:paraId="104FFF03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24128C02" w:rsidR="008A76F1" w:rsidRPr="006C7D66" w:rsidRDefault="00B4564D" w:rsidP="006802A1">
            <w:pPr>
              <w:pStyle w:val="TableTextCentreAligned"/>
              <w:jc w:val="left"/>
            </w:pPr>
            <w:r>
              <w:lastRenderedPageBreak/>
              <w:t xml:space="preserve">Bites and scratches. </w:t>
            </w:r>
          </w:p>
        </w:tc>
        <w:tc>
          <w:tcPr>
            <w:tcW w:w="1134" w:type="dxa"/>
            <w:vAlign w:val="center"/>
          </w:tcPr>
          <w:p w14:paraId="12DB2FAB" w14:textId="77777777" w:rsidR="008A76F1" w:rsidRDefault="00B4564D" w:rsidP="006C7D66">
            <w:pPr>
              <w:pStyle w:val="TableTextCentreAligned"/>
            </w:pPr>
            <w:r>
              <w:t>Pupils</w:t>
            </w:r>
          </w:p>
          <w:p w14:paraId="365C3AE1" w14:textId="77777777" w:rsidR="00B4564D" w:rsidRDefault="00B4564D" w:rsidP="006C7D66">
            <w:pPr>
              <w:pStyle w:val="TableTextCentreAligned"/>
            </w:pPr>
            <w:r>
              <w:t>Staff</w:t>
            </w:r>
          </w:p>
          <w:p w14:paraId="4B243924" w14:textId="1F02B639" w:rsidR="00B4564D" w:rsidRPr="006C7D66" w:rsidRDefault="00B4564D" w:rsidP="006C7D66">
            <w:pPr>
              <w:pStyle w:val="TableTextCentreAligned"/>
            </w:pPr>
            <w:r>
              <w:t>Visitors</w:t>
            </w:r>
          </w:p>
        </w:tc>
        <w:tc>
          <w:tcPr>
            <w:tcW w:w="5954" w:type="dxa"/>
            <w:vAlign w:val="center"/>
          </w:tcPr>
          <w:p w14:paraId="17BBD329" w14:textId="0FC09441" w:rsidR="000A29BC" w:rsidRDefault="000A29BC" w:rsidP="006C7D66">
            <w:pPr>
              <w:pStyle w:val="TableText"/>
            </w:pPr>
            <w:r>
              <w:t xml:space="preserve">All dogs should meet the standards laid out in the </w:t>
            </w:r>
          </w:p>
          <w:p w14:paraId="2BE21238" w14:textId="1934C024" w:rsidR="008A76F1" w:rsidRDefault="00B4564D" w:rsidP="006C7D66">
            <w:pPr>
              <w:pStyle w:val="TableText"/>
            </w:pPr>
            <w:r>
              <w:t>Dog breed should be a naturally placid breed.</w:t>
            </w:r>
          </w:p>
          <w:p w14:paraId="72962037" w14:textId="77777777" w:rsidR="00B4564D" w:rsidRDefault="00C70D46" w:rsidP="006C7D66">
            <w:pPr>
              <w:pStyle w:val="TableText"/>
            </w:pPr>
            <w:r>
              <w:t>Dogs will have a limited “workload”, to avoid overstimulation.</w:t>
            </w:r>
          </w:p>
          <w:p w14:paraId="1297EE1C" w14:textId="77777777" w:rsidR="00C70D46" w:rsidRDefault="00C70D46" w:rsidP="006C7D66">
            <w:pPr>
              <w:pStyle w:val="TableText"/>
            </w:pPr>
            <w:r>
              <w:t>Dogs will not be approached or handled while eating, except for by their owner.</w:t>
            </w:r>
          </w:p>
          <w:p w14:paraId="7B378AFC" w14:textId="77777777" w:rsidR="00C70D46" w:rsidRDefault="00C70D46" w:rsidP="006C7D66">
            <w:pPr>
              <w:pStyle w:val="TableText"/>
            </w:pPr>
            <w:r>
              <w:t>Pupils will not play boisterous games with the dog, such as tug or play fighting.</w:t>
            </w:r>
          </w:p>
          <w:p w14:paraId="25C52F83" w14:textId="77777777" w:rsidR="00C70D46" w:rsidRDefault="00C70D46" w:rsidP="006C7D66">
            <w:pPr>
              <w:pStyle w:val="TableText"/>
            </w:pPr>
            <w:r>
              <w:t xml:space="preserve">Dogs will always be supervised by their owner. </w:t>
            </w:r>
          </w:p>
          <w:p w14:paraId="457794E4" w14:textId="77777777" w:rsidR="00C70D46" w:rsidRDefault="00C70D46" w:rsidP="006C7D66">
            <w:pPr>
              <w:pStyle w:val="TableText"/>
            </w:pPr>
            <w:r>
              <w:t xml:space="preserve">Dogs will have sufficient break periods. </w:t>
            </w:r>
          </w:p>
          <w:p w14:paraId="5687DFE6" w14:textId="77777777" w:rsidR="000A29BC" w:rsidRDefault="000A29BC" w:rsidP="006C7D66">
            <w:pPr>
              <w:pStyle w:val="TableText"/>
            </w:pPr>
            <w:r>
              <w:t xml:space="preserve">Pupils and staff should not put their face near to the dog’s face. </w:t>
            </w:r>
          </w:p>
          <w:p w14:paraId="675B8F8B" w14:textId="77777777" w:rsidR="000A29BC" w:rsidRDefault="000A29BC" w:rsidP="006C7D66">
            <w:pPr>
              <w:pStyle w:val="TableText"/>
            </w:pPr>
            <w:r>
              <w:t xml:space="preserve">Pupils will be reminded not to shout/scream at the dog, and to remain seated while in class with the dog. </w:t>
            </w:r>
          </w:p>
          <w:p w14:paraId="340264BF" w14:textId="77777777" w:rsidR="000A29BC" w:rsidRDefault="000A29BC" w:rsidP="006C7D66">
            <w:pPr>
              <w:pStyle w:val="TableText"/>
            </w:pPr>
            <w:r>
              <w:t xml:space="preserve">The dog will be removed from the school at the first signs of aggressive behaviour. </w:t>
            </w:r>
          </w:p>
          <w:p w14:paraId="3A51E83E" w14:textId="77777777" w:rsidR="000A29BC" w:rsidRDefault="000A29BC" w:rsidP="000A29BC">
            <w:pPr>
              <w:pStyle w:val="TableText"/>
            </w:pPr>
            <w:r>
              <w:t xml:space="preserve">The dog will be allowed to acclimate to the noises and smells of the school before working with pupils. </w:t>
            </w:r>
          </w:p>
          <w:p w14:paraId="23205703" w14:textId="77777777" w:rsidR="00382C40" w:rsidRDefault="00382C40" w:rsidP="000A29BC">
            <w:pPr>
              <w:pStyle w:val="TableText"/>
            </w:pPr>
            <w:r>
              <w:t xml:space="preserve">Parents will be consulted to identify phobias, or pupils who have had negative experiences with dogs in the past. </w:t>
            </w:r>
          </w:p>
          <w:p w14:paraId="47B1029A" w14:textId="5A65EF64" w:rsidR="00552C84" w:rsidRPr="006C7D66" w:rsidRDefault="00552C84" w:rsidP="000A29BC">
            <w:pPr>
              <w:pStyle w:val="TableText"/>
            </w:pPr>
            <w:r>
              <w:t>Insurers must be informed of dogs in the school.</w:t>
            </w:r>
          </w:p>
        </w:tc>
        <w:tc>
          <w:tcPr>
            <w:tcW w:w="5112" w:type="dxa"/>
            <w:vAlign w:val="center"/>
          </w:tcPr>
          <w:p w14:paraId="6CBDB6B1" w14:textId="77777777" w:rsidR="008A76F1" w:rsidRPr="006C7D66" w:rsidRDefault="008A76F1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4516A1F5" w14:textId="77777777" w:rsidR="008A76F1" w:rsidRPr="006C7D66" w:rsidRDefault="008A76F1" w:rsidP="006C7D66">
            <w:pPr>
              <w:pStyle w:val="TableText"/>
            </w:pPr>
          </w:p>
        </w:tc>
      </w:tr>
      <w:tr w:rsidR="0084142B" w:rsidRPr="006C7D66" w14:paraId="6FC87FF1" w14:textId="77777777" w:rsidTr="00A4319B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5942AFB9" w:rsidR="0084142B" w:rsidRPr="006C7D66" w:rsidRDefault="00B4564D" w:rsidP="006802A1">
            <w:pPr>
              <w:pStyle w:val="TableTextCentreAligned"/>
              <w:jc w:val="left"/>
            </w:pPr>
            <w:r>
              <w:t>Illness spread by dogs. Fleas</w:t>
            </w:r>
            <w:r w:rsidR="004253CA">
              <w:t>, worms and</w:t>
            </w:r>
            <w:r>
              <w:t xml:space="preserve"> Ticks. </w:t>
            </w:r>
            <w:r w:rsidR="004253CA">
              <w:t>Allergies.</w:t>
            </w:r>
          </w:p>
        </w:tc>
        <w:tc>
          <w:tcPr>
            <w:tcW w:w="1134" w:type="dxa"/>
            <w:vAlign w:val="center"/>
          </w:tcPr>
          <w:p w14:paraId="1FC70358" w14:textId="77777777" w:rsidR="00B4564D" w:rsidRDefault="00B4564D" w:rsidP="00B4564D">
            <w:pPr>
              <w:pStyle w:val="TableTextCentreAligned"/>
            </w:pPr>
            <w:r>
              <w:t>Pupils</w:t>
            </w:r>
          </w:p>
          <w:p w14:paraId="30D80DDA" w14:textId="77777777" w:rsidR="00B4564D" w:rsidRDefault="00B4564D" w:rsidP="00B4564D">
            <w:pPr>
              <w:pStyle w:val="TableTextCentreAligned"/>
            </w:pPr>
            <w:r>
              <w:t>Staff</w:t>
            </w:r>
          </w:p>
          <w:p w14:paraId="0099FD1F" w14:textId="6B983797" w:rsidR="0084142B" w:rsidRPr="006C7D66" w:rsidRDefault="00B4564D" w:rsidP="00B4564D">
            <w:pPr>
              <w:pStyle w:val="TableTextCentreAligned"/>
            </w:pPr>
            <w:r>
              <w:t>Visitors</w:t>
            </w:r>
          </w:p>
        </w:tc>
        <w:tc>
          <w:tcPr>
            <w:tcW w:w="5954" w:type="dxa"/>
          </w:tcPr>
          <w:p w14:paraId="628AF0BE" w14:textId="77777777" w:rsidR="0084142B" w:rsidRDefault="004253CA" w:rsidP="006C7D66">
            <w:pPr>
              <w:pStyle w:val="TableText"/>
            </w:pPr>
            <w:r>
              <w:t xml:space="preserve">Dogs will be up to date on all vaccinations, worming, flea and tick treatments. </w:t>
            </w:r>
          </w:p>
          <w:p w14:paraId="56B726A5" w14:textId="77777777" w:rsidR="004253CA" w:rsidRDefault="004253CA" w:rsidP="004253CA">
            <w:pPr>
              <w:pStyle w:val="TableText"/>
            </w:pPr>
            <w:r>
              <w:t>Dogs will be in good health and regularly attend check-ups with a qualified veterinarian.</w:t>
            </w:r>
          </w:p>
          <w:p w14:paraId="372A2C59" w14:textId="77777777" w:rsidR="00382C40" w:rsidRDefault="00382C40" w:rsidP="004253CA">
            <w:pPr>
              <w:pStyle w:val="TableText"/>
            </w:pPr>
            <w:r>
              <w:t xml:space="preserve">Waste products will be cleaned away promptly by the owner. </w:t>
            </w:r>
          </w:p>
          <w:p w14:paraId="1BAD126C" w14:textId="30F16AAA" w:rsidR="00382C40" w:rsidRDefault="00382C40" w:rsidP="004253CA">
            <w:pPr>
              <w:pStyle w:val="TableText"/>
            </w:pPr>
            <w:r>
              <w:t xml:space="preserve">The dog will not be allowed in to food preparation areas. </w:t>
            </w:r>
          </w:p>
          <w:p w14:paraId="310B1444" w14:textId="79F5AFDE" w:rsidR="00382C40" w:rsidRDefault="00382C40" w:rsidP="004253CA">
            <w:pPr>
              <w:pStyle w:val="TableText"/>
            </w:pPr>
            <w:r>
              <w:t xml:space="preserve">Food will not be eaten in the room with the dog. </w:t>
            </w:r>
          </w:p>
          <w:p w14:paraId="5AD9E42E" w14:textId="69472BCF" w:rsidR="00382C40" w:rsidRDefault="00382C40" w:rsidP="004253CA">
            <w:pPr>
              <w:pStyle w:val="TableText"/>
            </w:pPr>
            <w:r>
              <w:lastRenderedPageBreak/>
              <w:t>The dog will be regularly groomed to prevent excess shedding.</w:t>
            </w:r>
          </w:p>
          <w:p w14:paraId="4A5B41E5" w14:textId="77777777" w:rsidR="00382C40" w:rsidRDefault="00382C40" w:rsidP="00382C40">
            <w:pPr>
              <w:pStyle w:val="TableText"/>
            </w:pPr>
            <w:r>
              <w:t>Parents will be consulted prior to allowing the dog in to the school.</w:t>
            </w:r>
          </w:p>
          <w:p w14:paraId="70CDC49C" w14:textId="77777777" w:rsidR="00382C40" w:rsidRDefault="00382C40" w:rsidP="00382C40">
            <w:pPr>
              <w:pStyle w:val="TableText"/>
            </w:pPr>
            <w:r>
              <w:t>Pupils with allergies will not have contact with the dog, and the dog will not work in their classroom.</w:t>
            </w:r>
          </w:p>
          <w:p w14:paraId="2A76EDFE" w14:textId="77777777" w:rsidR="007B0897" w:rsidRDefault="007B0897" w:rsidP="00382C40">
            <w:pPr>
              <w:pStyle w:val="TableText"/>
            </w:pPr>
            <w:r>
              <w:t>Persons with a compromised immune system or other health vulnerability should not handle pet waste.</w:t>
            </w:r>
          </w:p>
          <w:p w14:paraId="31E61A44" w14:textId="77777777" w:rsidR="007B0897" w:rsidRDefault="007B0897" w:rsidP="00382C40">
            <w:pPr>
              <w:pStyle w:val="TableText"/>
            </w:pPr>
            <w:r>
              <w:t>Persons with open wounds should not participate in activities with the dog.</w:t>
            </w:r>
          </w:p>
          <w:p w14:paraId="466DD042" w14:textId="77777777" w:rsidR="00552C84" w:rsidRDefault="00552C84" w:rsidP="00382C40">
            <w:pPr>
              <w:pStyle w:val="TableText"/>
            </w:pPr>
            <w:r>
              <w:t>Hands will be washed before and after handling the dog.</w:t>
            </w:r>
          </w:p>
          <w:p w14:paraId="2E9038AC" w14:textId="368DEF69" w:rsidR="00552C84" w:rsidRPr="006C7D66" w:rsidRDefault="00552C84" w:rsidP="00552C84">
            <w:pPr>
              <w:pStyle w:val="TableText"/>
            </w:pPr>
            <w:r>
              <w:t>Dogs are discouraged from licking.</w:t>
            </w:r>
          </w:p>
        </w:tc>
        <w:tc>
          <w:tcPr>
            <w:tcW w:w="5112" w:type="dxa"/>
            <w:vAlign w:val="center"/>
          </w:tcPr>
          <w:p w14:paraId="6DDAF0FB" w14:textId="77777777" w:rsidR="0084142B" w:rsidRPr="006C7D66" w:rsidRDefault="0084142B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35BB201" w14:textId="77777777" w:rsidR="0084142B" w:rsidRPr="006C7D66" w:rsidRDefault="0084142B" w:rsidP="006C7D66">
            <w:pPr>
              <w:pStyle w:val="TableText"/>
            </w:pPr>
          </w:p>
        </w:tc>
      </w:tr>
      <w:tr w:rsidR="0084142B" w:rsidRPr="006C7D66" w14:paraId="7063C27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94588BB" w14:textId="63E3A978" w:rsidR="0084142B" w:rsidRPr="006C7D66" w:rsidRDefault="00C70D46" w:rsidP="006802A1">
            <w:pPr>
              <w:pStyle w:val="TableTextCentreAligned"/>
              <w:jc w:val="left"/>
            </w:pPr>
            <w:r>
              <w:t>Dog welfare</w:t>
            </w:r>
          </w:p>
        </w:tc>
        <w:tc>
          <w:tcPr>
            <w:tcW w:w="1134" w:type="dxa"/>
            <w:vAlign w:val="center"/>
          </w:tcPr>
          <w:p w14:paraId="3B9B4E4B" w14:textId="5124013C" w:rsidR="0084142B" w:rsidRPr="006C7D66" w:rsidRDefault="0084142B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0C7A6D77" w14:textId="77777777" w:rsidR="007B0897" w:rsidRDefault="007B0897" w:rsidP="006C7D66">
            <w:pPr>
              <w:pStyle w:val="TableText"/>
            </w:pPr>
            <w:r w:rsidRPr="007B0897">
              <w:t>Dogs should be in good health to undertake the role they are required to do</w:t>
            </w:r>
            <w:r>
              <w:t>.</w:t>
            </w:r>
            <w:r w:rsidRPr="007B0897">
              <w:t xml:space="preserve"> </w:t>
            </w:r>
          </w:p>
          <w:p w14:paraId="60C42E53" w14:textId="77777777" w:rsidR="007B0897" w:rsidRDefault="007B0897" w:rsidP="006C7D66">
            <w:pPr>
              <w:pStyle w:val="TableText"/>
            </w:pPr>
            <w:r w:rsidRPr="007B0897">
              <w:t>Handlers must use only positive reward-based training methods and equipment</w:t>
            </w:r>
            <w:r>
              <w:t>.</w:t>
            </w:r>
            <w:r w:rsidRPr="007B0897">
              <w:t xml:space="preserve"> </w:t>
            </w:r>
          </w:p>
          <w:p w14:paraId="041A9CE1" w14:textId="53549643" w:rsidR="007B0897" w:rsidRDefault="007B0897" w:rsidP="006C7D66">
            <w:pPr>
              <w:pStyle w:val="TableText"/>
            </w:pPr>
            <w:r w:rsidRPr="007B0897">
              <w:t>Dogs must travel confidently and comfortably in any mode of transport</w:t>
            </w:r>
            <w:r>
              <w:t xml:space="preserve"> they are expected to use in the school day.</w:t>
            </w:r>
            <w:r w:rsidRPr="007B0897">
              <w:t xml:space="preserve"> </w:t>
            </w:r>
          </w:p>
          <w:p w14:paraId="560C879D" w14:textId="77777777" w:rsidR="007B0897" w:rsidRDefault="007B0897" w:rsidP="006C7D66">
            <w:pPr>
              <w:pStyle w:val="TableText"/>
            </w:pPr>
            <w:r w:rsidRPr="007B0897">
              <w:t xml:space="preserve">Each active session with the dog must be no longer than one hour and dogs should work for no more than three active hours during a day. </w:t>
            </w:r>
          </w:p>
          <w:p w14:paraId="652C2D4C" w14:textId="139DC318" w:rsidR="007B0897" w:rsidRDefault="007B0897" w:rsidP="006C7D66">
            <w:pPr>
              <w:pStyle w:val="TableText"/>
            </w:pPr>
            <w:r w:rsidRPr="007B0897">
              <w:t>They should have access to a quiet, safe and comfortable place to rest for a proportionate break between sessions.</w:t>
            </w:r>
          </w:p>
          <w:p w14:paraId="0A997665" w14:textId="77777777" w:rsidR="007B0897" w:rsidRDefault="007B0897" w:rsidP="006C7D66">
            <w:pPr>
              <w:pStyle w:val="TableText"/>
            </w:pPr>
            <w:r w:rsidRPr="007B0897">
              <w:t>During this time, only the dog’s handler should be allowed access to the dog</w:t>
            </w:r>
            <w:r>
              <w:t>.</w:t>
            </w:r>
            <w:r w:rsidRPr="007B0897">
              <w:t xml:space="preserve"> </w:t>
            </w:r>
          </w:p>
          <w:p w14:paraId="3FDD5B42" w14:textId="77777777" w:rsidR="007B0897" w:rsidRDefault="007B0897" w:rsidP="006C7D66">
            <w:pPr>
              <w:pStyle w:val="TableText"/>
            </w:pPr>
            <w:r w:rsidRPr="007B0897">
              <w:t>Dogs must have access to fresh drinking water at all times</w:t>
            </w:r>
            <w:r>
              <w:t>.</w:t>
            </w:r>
          </w:p>
          <w:p w14:paraId="62C382DA" w14:textId="77777777" w:rsidR="007B0897" w:rsidRDefault="007B0897" w:rsidP="006C7D66">
            <w:pPr>
              <w:pStyle w:val="TableText"/>
            </w:pPr>
            <w:r w:rsidRPr="007B0897">
              <w:t>Dogs must be given the opportunity to toilet when required, in an appropriate place provided by the school</w:t>
            </w:r>
            <w:r>
              <w:t>.</w:t>
            </w:r>
            <w:r w:rsidRPr="007B0897">
              <w:t xml:space="preserve"> </w:t>
            </w:r>
          </w:p>
          <w:p w14:paraId="34CA746F" w14:textId="77777777" w:rsidR="007B0897" w:rsidRDefault="007B0897" w:rsidP="007B0897">
            <w:pPr>
              <w:pStyle w:val="TableText"/>
            </w:pPr>
            <w:r w:rsidRPr="007B0897">
              <w:t xml:space="preserve">If a dog shows signs of stress, anxiety, discomfort or fatigue, they must be taken out of the situation and only brought back into the session if fully recovered and the </w:t>
            </w:r>
            <w:r w:rsidRPr="007B0897">
              <w:lastRenderedPageBreak/>
              <w:t>issue causing the stress has been identified and addressed</w:t>
            </w:r>
            <w:r>
              <w:t>.</w:t>
            </w:r>
          </w:p>
          <w:p w14:paraId="2737564D" w14:textId="77777777" w:rsidR="007B0897" w:rsidRDefault="007B0897" w:rsidP="007B0897">
            <w:pPr>
              <w:pStyle w:val="TableText"/>
            </w:pPr>
            <w:r w:rsidRPr="007B0897">
              <w:t>Enough space must be provided in the working area for the dog to be able to move about comfortably and lay down</w:t>
            </w:r>
            <w:r>
              <w:t>.</w:t>
            </w:r>
          </w:p>
          <w:p w14:paraId="60685D35" w14:textId="77777777" w:rsidR="007B0897" w:rsidRDefault="007B0897" w:rsidP="007B0897">
            <w:pPr>
              <w:pStyle w:val="TableText"/>
            </w:pPr>
            <w:r w:rsidRPr="007B0897">
              <w:t xml:space="preserve">Dogs must be re-assessed regularly to confirm that they are in good health, both physically and emotionally and have the appropriate temperament to continue working. Ideally, this assessment should be conducted once a year, and no less than once every two years, or after a period of significant absence. </w:t>
            </w:r>
          </w:p>
          <w:p w14:paraId="2A5F2BF5" w14:textId="77777777" w:rsidR="007B0897" w:rsidRDefault="007B0897" w:rsidP="007B0897">
            <w:pPr>
              <w:pStyle w:val="TableText"/>
            </w:pPr>
            <w:r w:rsidRPr="007B0897">
              <w:t>The handler is responsible for ensuring that the dog is not put into any potential situations which may compromise</w:t>
            </w:r>
            <w:r>
              <w:t xml:space="preserve"> the dog’s health and wellbeing.</w:t>
            </w:r>
          </w:p>
          <w:p w14:paraId="744445D2" w14:textId="77777777" w:rsidR="007B0897" w:rsidRDefault="007B0897" w:rsidP="007B0897">
            <w:pPr>
              <w:pStyle w:val="TableText"/>
            </w:pPr>
            <w:r w:rsidRPr="007B0897">
              <w:t>Dogs must not be expec</w:t>
            </w:r>
            <w:r>
              <w:t>ted to mix with unfamiliar dogs.</w:t>
            </w:r>
          </w:p>
          <w:p w14:paraId="3F2ACD21" w14:textId="77777777" w:rsidR="007B0897" w:rsidRDefault="007B0897" w:rsidP="007B0897">
            <w:pPr>
              <w:pStyle w:val="TableText"/>
            </w:pPr>
            <w:r w:rsidRPr="007B0897">
              <w:t xml:space="preserve">Dogs must only wear items of uniform designed for dogs, such as jackets, leads and bandanas. </w:t>
            </w:r>
          </w:p>
          <w:p w14:paraId="50175D59" w14:textId="680C36AA" w:rsidR="007B0897" w:rsidRPr="006C7D66" w:rsidRDefault="007B0897" w:rsidP="007B0897">
            <w:pPr>
              <w:pStyle w:val="TableText"/>
            </w:pPr>
            <w:r w:rsidRPr="007B0897">
              <w:t>Fancy dress or clothing not appropriate for dogs are not permitted</w:t>
            </w:r>
            <w:r>
              <w:t>.</w:t>
            </w:r>
          </w:p>
        </w:tc>
        <w:tc>
          <w:tcPr>
            <w:tcW w:w="5112" w:type="dxa"/>
            <w:vAlign w:val="center"/>
          </w:tcPr>
          <w:p w14:paraId="2B6511D3" w14:textId="77777777" w:rsidR="0084142B" w:rsidRPr="006C7D66" w:rsidRDefault="0084142B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F69941B" w14:textId="77777777" w:rsidR="0084142B" w:rsidRPr="006C7D66" w:rsidRDefault="0084142B" w:rsidP="006C7D66">
            <w:pPr>
              <w:pStyle w:val="TableText"/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9"/>
          <w:footerReference w:type="default" r:id="rId10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5BDC770C"/>
    <w:lvl w:ilvl="0" w:tplc="04090017">
      <w:start w:val="1"/>
      <w:numFmt w:val="lowerLetter"/>
      <w:pStyle w:val="NumberedBullet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2E01D6"/>
    <w:multiLevelType w:val="hybridMultilevel"/>
    <w:tmpl w:val="402AD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3"/>
  </w:num>
  <w:num w:numId="19">
    <w:abstractNumId w:val="20"/>
  </w:num>
  <w:num w:numId="20">
    <w:abstractNumId w:val="10"/>
  </w:num>
  <w:num w:numId="21">
    <w:abstractNumId w:val="16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21F95"/>
    <w:rsid w:val="0002201C"/>
    <w:rsid w:val="00022806"/>
    <w:rsid w:val="00057192"/>
    <w:rsid w:val="000A29BC"/>
    <w:rsid w:val="000D73A1"/>
    <w:rsid w:val="00104805"/>
    <w:rsid w:val="00137B38"/>
    <w:rsid w:val="0014361E"/>
    <w:rsid w:val="0015442F"/>
    <w:rsid w:val="001A55FE"/>
    <w:rsid w:val="00202359"/>
    <w:rsid w:val="00205BA7"/>
    <w:rsid w:val="0020727E"/>
    <w:rsid w:val="00245277"/>
    <w:rsid w:val="00250A55"/>
    <w:rsid w:val="00282A1E"/>
    <w:rsid w:val="002906E6"/>
    <w:rsid w:val="002D1B78"/>
    <w:rsid w:val="00360F6A"/>
    <w:rsid w:val="00382C40"/>
    <w:rsid w:val="003A6C24"/>
    <w:rsid w:val="003C2371"/>
    <w:rsid w:val="003D15D4"/>
    <w:rsid w:val="00400220"/>
    <w:rsid w:val="004044A1"/>
    <w:rsid w:val="00414AE5"/>
    <w:rsid w:val="004253CA"/>
    <w:rsid w:val="00427EEF"/>
    <w:rsid w:val="004302F3"/>
    <w:rsid w:val="00467D2F"/>
    <w:rsid w:val="00490E92"/>
    <w:rsid w:val="004E0212"/>
    <w:rsid w:val="00552C84"/>
    <w:rsid w:val="00553FEF"/>
    <w:rsid w:val="00594ACE"/>
    <w:rsid w:val="005D626E"/>
    <w:rsid w:val="005E0AFC"/>
    <w:rsid w:val="006802A1"/>
    <w:rsid w:val="006A16F6"/>
    <w:rsid w:val="006B212C"/>
    <w:rsid w:val="006C7D66"/>
    <w:rsid w:val="006D1CB9"/>
    <w:rsid w:val="007A76F7"/>
    <w:rsid w:val="007B0897"/>
    <w:rsid w:val="007D252E"/>
    <w:rsid w:val="0084142B"/>
    <w:rsid w:val="00880B03"/>
    <w:rsid w:val="0088640C"/>
    <w:rsid w:val="008A369D"/>
    <w:rsid w:val="008A37FA"/>
    <w:rsid w:val="008A76F1"/>
    <w:rsid w:val="008F1C14"/>
    <w:rsid w:val="00906827"/>
    <w:rsid w:val="00991A0A"/>
    <w:rsid w:val="00991E6F"/>
    <w:rsid w:val="009921C3"/>
    <w:rsid w:val="009B7C94"/>
    <w:rsid w:val="00A21917"/>
    <w:rsid w:val="00A57BBB"/>
    <w:rsid w:val="00A6643F"/>
    <w:rsid w:val="00A825F9"/>
    <w:rsid w:val="00AA2331"/>
    <w:rsid w:val="00AA606C"/>
    <w:rsid w:val="00AF08C1"/>
    <w:rsid w:val="00B062E2"/>
    <w:rsid w:val="00B442CD"/>
    <w:rsid w:val="00B4564D"/>
    <w:rsid w:val="00B77EB4"/>
    <w:rsid w:val="00BC1F03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70D46"/>
    <w:rsid w:val="00CA68F9"/>
    <w:rsid w:val="00CC538D"/>
    <w:rsid w:val="00CD29C4"/>
    <w:rsid w:val="00D01F1A"/>
    <w:rsid w:val="00D14C2F"/>
    <w:rsid w:val="00D207B9"/>
    <w:rsid w:val="00D21A2D"/>
    <w:rsid w:val="00D56CB2"/>
    <w:rsid w:val="00D921E7"/>
    <w:rsid w:val="00D9428D"/>
    <w:rsid w:val="00DC0B8B"/>
    <w:rsid w:val="00DC3BA4"/>
    <w:rsid w:val="00E404B8"/>
    <w:rsid w:val="00E741AF"/>
    <w:rsid w:val="00E742E3"/>
    <w:rsid w:val="00E84E41"/>
    <w:rsid w:val="00EA55BC"/>
    <w:rsid w:val="00EE4C54"/>
    <w:rsid w:val="00EF6FCD"/>
    <w:rsid w:val="00F03B02"/>
    <w:rsid w:val="00F07604"/>
    <w:rsid w:val="00F11D0A"/>
    <w:rsid w:val="00F32D6B"/>
    <w:rsid w:val="00F518C0"/>
    <w:rsid w:val="00F61996"/>
    <w:rsid w:val="00F7127D"/>
    <w:rsid w:val="00F72B43"/>
    <w:rsid w:val="00F97429"/>
    <w:rsid w:val="00FA45AE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6C7D66"/>
    <w:pPr>
      <w:spacing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6C7D66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  <w:style w:type="paragraph" w:customStyle="1" w:styleId="TableTextCentreAligned">
    <w:name w:val="Table Text Centre Aligned"/>
    <w:basedOn w:val="TableText"/>
    <w:link w:val="TableTextCentreAlignedChar"/>
    <w:qFormat/>
    <w:rsid w:val="006C7D66"/>
    <w:pPr>
      <w:jc w:val="center"/>
    </w:pPr>
  </w:style>
  <w:style w:type="character" w:customStyle="1" w:styleId="TableTextCentreAlignedChar">
    <w:name w:val="Table Text Centre Aligned Char"/>
    <w:basedOn w:val="TableTextChar"/>
    <w:link w:val="TableTextCentreAligned"/>
    <w:rsid w:val="006C7D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www.thekennelclub.org.uk/media/1929/gcdssilv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7ED0-D84A-4981-9727-6BDCDDB0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dogs</dc:title>
  <dc:subject/>
  <dc:creator>Herefordshire Council</dc:creator>
  <cp:keywords>risk assessment;dog</cp:keywords>
  <dc:description/>
  <cp:lastModifiedBy>Walder, Rebecca</cp:lastModifiedBy>
  <cp:revision>4</cp:revision>
  <dcterms:created xsi:type="dcterms:W3CDTF">2024-04-22T11:00:00Z</dcterms:created>
  <dcterms:modified xsi:type="dcterms:W3CDTF">2024-07-08T14:39:00Z</dcterms:modified>
</cp:coreProperties>
</file>